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9E" w:rsidRPr="002C3486" w:rsidRDefault="002C3486" w:rsidP="00082C0C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C3486">
        <w:rPr>
          <w:rFonts w:ascii="Arial" w:hAnsi="Arial" w:cs="Arial"/>
          <w:b/>
          <w:sz w:val="26"/>
          <w:szCs w:val="26"/>
        </w:rPr>
        <w:t>PREZADOS,</w:t>
      </w:r>
    </w:p>
    <w:p w:rsidR="004E43D0" w:rsidRPr="004E43D0" w:rsidRDefault="004E43D0" w:rsidP="00082C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816D4" w:rsidRPr="004E43D0" w:rsidRDefault="00823E9E" w:rsidP="00A568FA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E43D0">
        <w:rPr>
          <w:rFonts w:ascii="Arial" w:hAnsi="Arial" w:cs="Arial"/>
          <w:sz w:val="24"/>
          <w:szCs w:val="24"/>
        </w:rPr>
        <w:t>Viemos por meio deste tratar do assunto</w:t>
      </w:r>
      <w:r w:rsidRPr="004E43D0">
        <w:rPr>
          <w:rFonts w:ascii="Arial" w:hAnsi="Arial" w:cs="Arial"/>
          <w:b/>
          <w:sz w:val="24"/>
          <w:szCs w:val="24"/>
        </w:rPr>
        <w:t xml:space="preserve"> NOTAS EXPLICATIVAS DO BALANÇO – EXERCÍCIO DE 2018. </w:t>
      </w:r>
    </w:p>
    <w:p w:rsidR="00BA1B0B" w:rsidRPr="004E43D0" w:rsidRDefault="00BA1B0B" w:rsidP="004E43D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3D0">
        <w:rPr>
          <w:rFonts w:ascii="Arial" w:hAnsi="Arial" w:cs="Arial"/>
          <w:sz w:val="24"/>
          <w:szCs w:val="24"/>
        </w:rPr>
        <w:t xml:space="preserve">No dia 03 de agosto de 2018, o Tribunal de Contas de Santa Catarina emitiu um comunicado oficial definido que a partir do exercício de 2018, os Municípios </w:t>
      </w:r>
      <w:r w:rsidRPr="004E43D0">
        <w:rPr>
          <w:rFonts w:ascii="Arial" w:hAnsi="Arial" w:cs="Arial"/>
          <w:b/>
          <w:sz w:val="24"/>
          <w:szCs w:val="24"/>
        </w:rPr>
        <w:t xml:space="preserve">deverão </w:t>
      </w:r>
      <w:r w:rsidRPr="004E43D0">
        <w:rPr>
          <w:rFonts w:ascii="Arial" w:hAnsi="Arial" w:cs="Arial"/>
          <w:sz w:val="24"/>
          <w:szCs w:val="24"/>
        </w:rPr>
        <w:t>elaborar e encaminhar as Notas Explicativas do Balanço, via sala virtual, juntamente com o processo de Prestação de Contas do Prefeito.</w:t>
      </w:r>
    </w:p>
    <w:p w:rsidR="00BA1B0B" w:rsidRPr="004E43D0" w:rsidRDefault="006B6303" w:rsidP="004E43D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3D0">
        <w:rPr>
          <w:rFonts w:ascii="Arial" w:hAnsi="Arial" w:cs="Arial"/>
          <w:sz w:val="24"/>
          <w:szCs w:val="24"/>
        </w:rPr>
        <w:t>A Notas Explicativas do Balanço é parte integrante das demonstrações contábeis, e essenciais para fornecer informações úteis aos usuários da informação.</w:t>
      </w:r>
      <w:r w:rsidR="00BA1B0B" w:rsidRPr="004E43D0">
        <w:rPr>
          <w:rFonts w:ascii="Arial" w:hAnsi="Arial" w:cs="Arial"/>
          <w:sz w:val="24"/>
          <w:szCs w:val="24"/>
        </w:rPr>
        <w:t xml:space="preserve"> “</w:t>
      </w:r>
      <w:r w:rsidRPr="004E43D0">
        <w:rPr>
          <w:rFonts w:ascii="Arial" w:hAnsi="Arial" w:cs="Arial"/>
          <w:sz w:val="24"/>
          <w:szCs w:val="24"/>
        </w:rPr>
        <w:t xml:space="preserve">Nesse sentido, o profissional contábil tem o </w:t>
      </w:r>
      <w:r w:rsidRPr="007E06F7">
        <w:rPr>
          <w:rFonts w:ascii="Arial" w:hAnsi="Arial" w:cs="Arial"/>
          <w:sz w:val="24"/>
          <w:szCs w:val="24"/>
        </w:rPr>
        <w:t xml:space="preserve">desafio </w:t>
      </w:r>
      <w:r w:rsidRPr="004E43D0">
        <w:rPr>
          <w:rFonts w:ascii="Arial" w:hAnsi="Arial" w:cs="Arial"/>
          <w:sz w:val="24"/>
          <w:szCs w:val="24"/>
        </w:rPr>
        <w:t>de produzir notas explicativas objetivas e de qualidade, sem excessos de informações, e que não sejam mera repetição de informações evidenciadas nas demonstrações contábeis, mas que tragam subsídios que agreguem valor aos demonstrativos</w:t>
      </w:r>
      <w:r w:rsidR="00BA1B0B" w:rsidRPr="004E43D0">
        <w:rPr>
          <w:rFonts w:ascii="Arial" w:hAnsi="Arial" w:cs="Arial"/>
          <w:sz w:val="24"/>
          <w:szCs w:val="24"/>
        </w:rPr>
        <w:t>”</w:t>
      </w:r>
      <w:r w:rsidRPr="004E43D0">
        <w:rPr>
          <w:rFonts w:ascii="Arial" w:hAnsi="Arial" w:cs="Arial"/>
          <w:sz w:val="24"/>
          <w:szCs w:val="24"/>
        </w:rPr>
        <w:t>.  (TCE/SC, 2018).</w:t>
      </w:r>
      <w:r w:rsidR="00BA1B0B" w:rsidRPr="004E43D0">
        <w:rPr>
          <w:rFonts w:ascii="Arial" w:hAnsi="Arial" w:cs="Arial"/>
          <w:sz w:val="24"/>
          <w:szCs w:val="24"/>
        </w:rPr>
        <w:t xml:space="preserve"> </w:t>
      </w:r>
    </w:p>
    <w:p w:rsidR="00823E9E" w:rsidRPr="004E43D0" w:rsidRDefault="006816D4" w:rsidP="004E43D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3D0">
        <w:rPr>
          <w:rFonts w:ascii="Arial" w:hAnsi="Arial" w:cs="Arial"/>
          <w:sz w:val="24"/>
          <w:szCs w:val="24"/>
        </w:rPr>
        <w:t>A a</w:t>
      </w:r>
      <w:r w:rsidR="00082C0C" w:rsidRPr="004E43D0">
        <w:rPr>
          <w:rFonts w:ascii="Arial" w:hAnsi="Arial" w:cs="Arial"/>
          <w:sz w:val="24"/>
          <w:szCs w:val="24"/>
        </w:rPr>
        <w:t xml:space="preserve">postila do </w:t>
      </w:r>
      <w:r w:rsidR="00823E9E" w:rsidRPr="004E43D0">
        <w:rPr>
          <w:rFonts w:ascii="Arial" w:hAnsi="Arial" w:cs="Arial"/>
          <w:sz w:val="24"/>
          <w:szCs w:val="24"/>
        </w:rPr>
        <w:t>XVIII Ciclo de Estudos de Controle Público da Administração Municipal</w:t>
      </w:r>
      <w:r w:rsidR="00082C0C" w:rsidRPr="004E43D0">
        <w:rPr>
          <w:rFonts w:ascii="Arial" w:hAnsi="Arial" w:cs="Arial"/>
          <w:sz w:val="24"/>
          <w:szCs w:val="24"/>
        </w:rPr>
        <w:t xml:space="preserve">, </w:t>
      </w:r>
      <w:r w:rsidR="00823E9E" w:rsidRPr="004E43D0">
        <w:rPr>
          <w:rFonts w:ascii="Arial" w:hAnsi="Arial" w:cs="Arial"/>
          <w:sz w:val="24"/>
          <w:szCs w:val="24"/>
        </w:rPr>
        <w:t>(2018, pág. 40), o TCE/SC definiu:</w:t>
      </w:r>
    </w:p>
    <w:p w:rsidR="00823E9E" w:rsidRPr="004E43D0" w:rsidRDefault="00823E9E" w:rsidP="004E43D0">
      <w:pPr>
        <w:spacing w:line="276" w:lineRule="auto"/>
        <w:ind w:left="2268"/>
        <w:jc w:val="both"/>
        <w:rPr>
          <w:rFonts w:ascii="Arial" w:hAnsi="Arial" w:cs="Arial"/>
          <w:b/>
        </w:rPr>
      </w:pPr>
      <w:r w:rsidRPr="004E43D0">
        <w:rPr>
          <w:rFonts w:ascii="Arial" w:hAnsi="Arial" w:cs="Arial"/>
        </w:rPr>
        <w:t xml:space="preserve">No setor público, </w:t>
      </w:r>
      <w:r w:rsidRPr="004E43D0">
        <w:rPr>
          <w:rFonts w:ascii="Arial" w:hAnsi="Arial" w:cs="Arial"/>
          <w:b/>
        </w:rPr>
        <w:t>as notas explicativas passaram a ser obrigatórias</w:t>
      </w:r>
      <w:r w:rsidRPr="004E43D0">
        <w:rPr>
          <w:rFonts w:ascii="Arial" w:hAnsi="Arial" w:cs="Arial"/>
        </w:rPr>
        <w:t xml:space="preserve"> a partir do processo de convergência da Contabilidade Aplicada ao Setor Público (CASP) aos padrões internacionais, determinado por meio da NBC T 16.6 – Demonstrações Contábeis, de 2008. </w:t>
      </w:r>
      <w:r w:rsidR="00BA1B0B" w:rsidRPr="004E43D0">
        <w:rPr>
          <w:rFonts w:ascii="Arial" w:hAnsi="Arial" w:cs="Arial"/>
        </w:rPr>
        <w:t>(...).</w:t>
      </w:r>
      <w:r w:rsidRPr="004E43D0">
        <w:rPr>
          <w:rFonts w:ascii="Arial" w:hAnsi="Arial" w:cs="Arial"/>
        </w:rPr>
        <w:t xml:space="preserve"> Ademais, o Manual de Contabilidade Aplicada ao Setor Público traz a </w:t>
      </w:r>
      <w:r w:rsidRPr="004E43D0">
        <w:rPr>
          <w:rFonts w:ascii="Arial" w:hAnsi="Arial" w:cs="Arial"/>
          <w:b/>
        </w:rPr>
        <w:t>exigência</w:t>
      </w:r>
      <w:r w:rsidRPr="004E43D0">
        <w:rPr>
          <w:rFonts w:ascii="Arial" w:hAnsi="Arial" w:cs="Arial"/>
        </w:rPr>
        <w:t xml:space="preserve"> de elaboração e divulgação das Notas Explicativas, detalhando os pontos a serem apresentados em relação a cada demonstração contábil.</w:t>
      </w:r>
      <w:r w:rsidR="006D1F55" w:rsidRPr="004E43D0">
        <w:rPr>
          <w:rFonts w:ascii="Arial" w:hAnsi="Arial" w:cs="Arial"/>
        </w:rPr>
        <w:t xml:space="preserve"> </w:t>
      </w:r>
      <w:r w:rsidR="006D1F55" w:rsidRPr="004E43D0">
        <w:rPr>
          <w:rFonts w:ascii="Arial" w:hAnsi="Arial" w:cs="Arial"/>
          <w:b/>
        </w:rPr>
        <w:t>(grifo nosso).</w:t>
      </w:r>
    </w:p>
    <w:p w:rsidR="004E43D0" w:rsidRDefault="004E43D0" w:rsidP="004E43D0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A1B0B" w:rsidRPr="004E43D0" w:rsidRDefault="00BA1B0B" w:rsidP="004E43D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3D0">
        <w:rPr>
          <w:rFonts w:ascii="Arial" w:hAnsi="Arial" w:cs="Arial"/>
          <w:b/>
          <w:sz w:val="24"/>
          <w:szCs w:val="24"/>
        </w:rPr>
        <w:t xml:space="preserve">Em seguida, </w:t>
      </w:r>
      <w:r w:rsidRPr="00D16C15">
        <w:rPr>
          <w:rFonts w:ascii="Arial" w:hAnsi="Arial" w:cs="Arial"/>
          <w:b/>
          <w:sz w:val="24"/>
          <w:szCs w:val="24"/>
        </w:rPr>
        <w:t xml:space="preserve">demonstramos a </w:t>
      </w:r>
      <w:r w:rsidR="00D16C15" w:rsidRPr="00D16C15">
        <w:rPr>
          <w:rFonts w:ascii="Arial" w:hAnsi="Arial" w:cs="Arial"/>
          <w:b/>
          <w:sz w:val="24"/>
          <w:szCs w:val="24"/>
        </w:rPr>
        <w:t xml:space="preserve">nova </w:t>
      </w:r>
      <w:r w:rsidRPr="00D16C15">
        <w:rPr>
          <w:rFonts w:ascii="Arial" w:hAnsi="Arial" w:cs="Arial"/>
          <w:b/>
          <w:sz w:val="24"/>
          <w:szCs w:val="24"/>
        </w:rPr>
        <w:t>estrutura</w:t>
      </w:r>
      <w:r w:rsidRPr="004E43D0">
        <w:rPr>
          <w:rFonts w:ascii="Arial" w:hAnsi="Arial" w:cs="Arial"/>
          <w:b/>
          <w:sz w:val="24"/>
          <w:szCs w:val="24"/>
        </w:rPr>
        <w:t xml:space="preserve"> necessária das Notas Explicativas do Balanço 2018, </w:t>
      </w:r>
      <w:r w:rsidRPr="004E43D0">
        <w:rPr>
          <w:rFonts w:ascii="Arial" w:hAnsi="Arial" w:cs="Arial"/>
          <w:sz w:val="24"/>
          <w:szCs w:val="24"/>
        </w:rPr>
        <w:t xml:space="preserve">baseado no Manual de Contabilidade Aplicada ao Setor Público da STN, e disposta pelo TCE/SC. </w:t>
      </w:r>
      <w:r w:rsidR="00A527CC">
        <w:rPr>
          <w:rFonts w:ascii="Arial" w:hAnsi="Arial" w:cs="Arial"/>
          <w:sz w:val="24"/>
          <w:szCs w:val="24"/>
        </w:rPr>
        <w:t>Ressaltamos que nossa assessoria acompanhará todo o processo de elaboração das Notas Explicativas referente ao exercício de 2018.</w:t>
      </w:r>
    </w:p>
    <w:p w:rsidR="00A568FA" w:rsidRDefault="00A568FA" w:rsidP="004E43D0">
      <w:pPr>
        <w:spacing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4E43D0" w:rsidRDefault="004E43D0" w:rsidP="004E43D0">
      <w:pPr>
        <w:spacing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Angelita Adriane de Conto</w:t>
      </w:r>
    </w:p>
    <w:p w:rsidR="004E43D0" w:rsidRPr="004E43D0" w:rsidRDefault="004E43D0" w:rsidP="004E43D0">
      <w:pPr>
        <w:spacing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GRUPO PÚBLICA</w:t>
      </w:r>
    </w:p>
    <w:p w:rsidR="007E06F7" w:rsidRDefault="007E06F7" w:rsidP="004E43D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568FA" w:rsidRDefault="00A568FA" w:rsidP="004E43D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568FA" w:rsidRDefault="00A568FA" w:rsidP="004E43D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23E9E" w:rsidRDefault="002C3486" w:rsidP="004E43D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ESTRUTURA DE </w:t>
      </w:r>
      <w:r w:rsidR="00823E9E" w:rsidRPr="00082C0C">
        <w:rPr>
          <w:rFonts w:ascii="Arial" w:hAnsi="Arial" w:cs="Arial"/>
          <w:b/>
          <w:sz w:val="24"/>
          <w:szCs w:val="24"/>
        </w:rPr>
        <w:t>APRESENTAÇÃO DAS NOTAS EXPLICATIVAS</w:t>
      </w:r>
    </w:p>
    <w:p w:rsidR="002C3486" w:rsidRDefault="002C3486" w:rsidP="004E43D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23E9E" w:rsidRPr="00082C0C" w:rsidRDefault="00823E9E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2C0C">
        <w:rPr>
          <w:rFonts w:ascii="Arial" w:hAnsi="Arial" w:cs="Arial"/>
          <w:b/>
          <w:sz w:val="24"/>
          <w:szCs w:val="24"/>
        </w:rPr>
        <w:t xml:space="preserve">1) Informações gerais: </w:t>
      </w:r>
    </w:p>
    <w:p w:rsidR="00823E9E" w:rsidRPr="00082C0C" w:rsidRDefault="00823E9E" w:rsidP="004E43D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>Natureza jurídica da entidade.</w:t>
      </w:r>
    </w:p>
    <w:p w:rsidR="00823E9E" w:rsidRPr="00082C0C" w:rsidRDefault="00823E9E" w:rsidP="004E43D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Domicílio da entidade.  </w:t>
      </w:r>
    </w:p>
    <w:p w:rsidR="00823E9E" w:rsidRPr="00082C0C" w:rsidRDefault="00823E9E" w:rsidP="004E43D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Natureza das operações e principais atividades da entidade. </w:t>
      </w:r>
    </w:p>
    <w:p w:rsidR="00823E9E" w:rsidRPr="00082C0C" w:rsidRDefault="00823E9E" w:rsidP="004E43D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Declaração de conformidade com a legislação e com as normas de contabilidade aplicáveis. </w:t>
      </w:r>
    </w:p>
    <w:p w:rsidR="00823E9E" w:rsidRPr="00082C0C" w:rsidRDefault="00823E9E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2C0C">
        <w:rPr>
          <w:rFonts w:ascii="Arial" w:hAnsi="Arial" w:cs="Arial"/>
          <w:b/>
          <w:sz w:val="24"/>
          <w:szCs w:val="24"/>
        </w:rPr>
        <w:t>2) Resumo das políticas contábeis significativas, por exemplo:</w:t>
      </w:r>
    </w:p>
    <w:p w:rsidR="00823E9E" w:rsidRPr="00082C0C" w:rsidRDefault="00823E9E" w:rsidP="004E43D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>Bases de mensuração utilizadas, como: custo histórico, valor realizável líquido, valor justo ou valor recuperável.</w:t>
      </w:r>
    </w:p>
    <w:p w:rsidR="00823E9E" w:rsidRPr="00082C0C" w:rsidRDefault="00823E9E" w:rsidP="004E43D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Novas normas e políticas contábeis alteradas. </w:t>
      </w:r>
    </w:p>
    <w:p w:rsidR="00823E9E" w:rsidRPr="00082C0C" w:rsidRDefault="00823E9E" w:rsidP="004E43D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Julgamentos pela aplicação das políticas contábeis. </w:t>
      </w:r>
    </w:p>
    <w:p w:rsidR="00823E9E" w:rsidRPr="00082C0C" w:rsidRDefault="00823E9E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2C0C">
        <w:rPr>
          <w:rFonts w:ascii="Arial" w:hAnsi="Arial" w:cs="Arial"/>
          <w:b/>
          <w:sz w:val="24"/>
          <w:szCs w:val="24"/>
        </w:rPr>
        <w:t xml:space="preserve">3) Informações de suporte e detalhamento de itens apresentados nas demonstrações contábeis pela ordem em que cada demonstração e cada rubrica sejam apresentadas. </w:t>
      </w:r>
    </w:p>
    <w:p w:rsidR="00823E9E" w:rsidRPr="00082C0C" w:rsidRDefault="00823E9E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82C0C">
        <w:rPr>
          <w:rFonts w:ascii="Arial" w:hAnsi="Arial" w:cs="Arial"/>
          <w:b/>
          <w:sz w:val="24"/>
          <w:szCs w:val="24"/>
        </w:rPr>
        <w:t>4</w:t>
      </w:r>
      <w:proofErr w:type="gramEnd"/>
      <w:r w:rsidRPr="00082C0C">
        <w:rPr>
          <w:rFonts w:ascii="Arial" w:hAnsi="Arial" w:cs="Arial"/>
          <w:b/>
          <w:sz w:val="24"/>
          <w:szCs w:val="24"/>
        </w:rPr>
        <w:t>) Outras informações relevantes, por exemplo:</w:t>
      </w:r>
    </w:p>
    <w:p w:rsidR="00823E9E" w:rsidRPr="00082C0C" w:rsidRDefault="00823E9E" w:rsidP="004E43D0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Passivos contingentes e compromissos contratuais não reconhecidos; </w:t>
      </w:r>
    </w:p>
    <w:p w:rsidR="00823E9E" w:rsidRPr="00082C0C" w:rsidRDefault="00823E9E" w:rsidP="004E43D0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Divulgações não financeiras, tais como: os objetivos e políticas de gestão do risco financeiro da entidade; pressupostos das estimativas; </w:t>
      </w:r>
    </w:p>
    <w:p w:rsidR="00823E9E" w:rsidRPr="00082C0C" w:rsidRDefault="00823E9E" w:rsidP="004E43D0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Reconhecimento de inconformidades que podem afetar a compreensão do usuário sobre o desempenho e o direcionamento das operações da entidade no futuro; </w:t>
      </w:r>
    </w:p>
    <w:p w:rsidR="00823E9E" w:rsidRPr="00082C0C" w:rsidRDefault="00823E9E" w:rsidP="004E43D0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>Ajustes decorrentes de omissões e erros de registro.</w:t>
      </w:r>
    </w:p>
    <w:p w:rsidR="006816D4" w:rsidRDefault="006816D4" w:rsidP="004E43D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23E9E" w:rsidRDefault="002C3486" w:rsidP="004E43D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ESTRUTURA E </w:t>
      </w:r>
      <w:r w:rsidR="00823E9E" w:rsidRPr="00082C0C">
        <w:rPr>
          <w:rFonts w:ascii="Arial" w:hAnsi="Arial" w:cs="Arial"/>
          <w:b/>
          <w:sz w:val="24"/>
          <w:szCs w:val="24"/>
        </w:rPr>
        <w:t>CONTEÚDO DAS NOTAS EXPLICATIVAS</w:t>
      </w:r>
    </w:p>
    <w:p w:rsidR="002C3486" w:rsidRDefault="002C3486" w:rsidP="004E43D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642DC" w:rsidRPr="00082C0C" w:rsidRDefault="00823E9E" w:rsidP="004E43D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b/>
          <w:sz w:val="24"/>
          <w:szCs w:val="24"/>
        </w:rPr>
        <w:t>Conteúdo das Notas Explicativas ao Balanço Orçamentário:</w:t>
      </w:r>
      <w:r w:rsidRPr="00082C0C">
        <w:rPr>
          <w:rFonts w:ascii="Arial" w:hAnsi="Arial" w:cs="Arial"/>
          <w:sz w:val="24"/>
          <w:szCs w:val="24"/>
        </w:rPr>
        <w:t xml:space="preserve"> No que tange ao Balanço Orçamentário, é importante abordar em notas explicativas uma análise do resultado orçamentário do período, buscando evidenciar quais foram os pontos cruciais para sua geração. Além disso, é de grande importância a abordagem dos pontos abaixo: </w:t>
      </w:r>
    </w:p>
    <w:p w:rsidR="007642DC" w:rsidRPr="00082C0C" w:rsidRDefault="00823E9E" w:rsidP="004E43D0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Previsão da receita versus arrecadação, analisando os casos de insuficiência e excesso de arrecadação, buscando informar as causas; </w:t>
      </w:r>
    </w:p>
    <w:p w:rsidR="007642DC" w:rsidRPr="00082C0C" w:rsidRDefault="00082C0C" w:rsidP="004E43D0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823E9E" w:rsidRPr="00082C0C">
        <w:rPr>
          <w:rFonts w:ascii="Arial" w:hAnsi="Arial" w:cs="Arial"/>
          <w:sz w:val="24"/>
          <w:szCs w:val="24"/>
        </w:rPr>
        <w:t xml:space="preserve">etalhamento das receitas e despesas </w:t>
      </w:r>
      <w:proofErr w:type="spellStart"/>
      <w:r w:rsidR="00823E9E" w:rsidRPr="00082C0C">
        <w:rPr>
          <w:rFonts w:ascii="Arial" w:hAnsi="Arial" w:cs="Arial"/>
          <w:sz w:val="24"/>
          <w:szCs w:val="24"/>
        </w:rPr>
        <w:t>intraorçamentárias</w:t>
      </w:r>
      <w:proofErr w:type="spellEnd"/>
      <w:r w:rsidR="00823E9E" w:rsidRPr="00082C0C">
        <w:rPr>
          <w:rFonts w:ascii="Arial" w:hAnsi="Arial" w:cs="Arial"/>
          <w:sz w:val="24"/>
          <w:szCs w:val="24"/>
        </w:rPr>
        <w:t xml:space="preserve">, quando relevante; </w:t>
      </w:r>
    </w:p>
    <w:p w:rsidR="007642DC" w:rsidRPr="00082C0C" w:rsidRDefault="00082C0C" w:rsidP="004E43D0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23E9E" w:rsidRPr="00082C0C">
        <w:rPr>
          <w:rFonts w:ascii="Arial" w:hAnsi="Arial" w:cs="Arial"/>
          <w:sz w:val="24"/>
          <w:szCs w:val="24"/>
        </w:rPr>
        <w:t xml:space="preserve">tilização do superávit financeiro e da reabertura de créditos especiais e extraordinários; </w:t>
      </w:r>
    </w:p>
    <w:p w:rsidR="007642DC" w:rsidRPr="00082C0C" w:rsidRDefault="00082C0C" w:rsidP="004E43D0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23E9E" w:rsidRPr="00082C0C">
        <w:rPr>
          <w:rFonts w:ascii="Arial" w:hAnsi="Arial" w:cs="Arial"/>
          <w:sz w:val="24"/>
          <w:szCs w:val="24"/>
        </w:rPr>
        <w:t xml:space="preserve">etalhamento da execução das despesas – análise da dotação inicial versus dotação atualizada, identificando e mostrando os atos que proporcionaram o acréscimo ou a redução da despesa e destacando os tipos de crédito (iniciais, suplementares, especiais ou extraordinários); </w:t>
      </w:r>
    </w:p>
    <w:p w:rsidR="007642DC" w:rsidRPr="00082C0C" w:rsidRDefault="00082C0C" w:rsidP="004E43D0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23E9E" w:rsidRPr="00082C0C">
        <w:rPr>
          <w:rFonts w:ascii="Arial" w:hAnsi="Arial" w:cs="Arial"/>
          <w:sz w:val="24"/>
          <w:szCs w:val="24"/>
        </w:rPr>
        <w:t xml:space="preserve">nalisar a execução da despesa, considerando a dotação atualizada, a despesa empenhada, a liquidada e a paga, fazendo interferências sobre as diferenças entre cada fase, buscando sempre informar as causas do fenômeno; </w:t>
      </w:r>
    </w:p>
    <w:p w:rsidR="00823E9E" w:rsidRPr="00082C0C" w:rsidRDefault="00082C0C" w:rsidP="004E43D0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823E9E" w:rsidRPr="00082C0C">
        <w:rPr>
          <w:rFonts w:ascii="Arial" w:hAnsi="Arial" w:cs="Arial"/>
          <w:sz w:val="24"/>
          <w:szCs w:val="24"/>
        </w:rPr>
        <w:t>valiar o estoque de restos a pagar processados e não processados, comparando os valores inscritos com os valores executados no exercício;</w:t>
      </w:r>
    </w:p>
    <w:p w:rsidR="002C3486" w:rsidRDefault="002C3486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23E9E" w:rsidRPr="00082C0C" w:rsidRDefault="007642DC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2C0C">
        <w:rPr>
          <w:rFonts w:ascii="Arial" w:hAnsi="Arial" w:cs="Arial"/>
          <w:b/>
          <w:sz w:val="24"/>
          <w:szCs w:val="24"/>
        </w:rPr>
        <w:t xml:space="preserve">2) </w:t>
      </w:r>
      <w:r w:rsidR="00823E9E" w:rsidRPr="00082C0C">
        <w:rPr>
          <w:rFonts w:ascii="Arial" w:hAnsi="Arial" w:cs="Arial"/>
          <w:b/>
          <w:sz w:val="24"/>
          <w:szCs w:val="24"/>
        </w:rPr>
        <w:t>Conteúdo das Notas Explicativas ao Balanço Patrimonial:</w:t>
      </w:r>
    </w:p>
    <w:p w:rsidR="00823E9E" w:rsidRPr="00082C0C" w:rsidRDefault="00823E9E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>Esse demonstrativo enseja, normalmente, a evidenciação de notas explicativas em função da dimensão e da natureza dos valores envolvidos nos ativos e passivos, bem como por demonstrar a posição patrimonial da entidade em um determinado exercício em comparação com o exercício imediatamente anterior. A 7ª edição do MCASP recomenda a evidenciação das políticas contábeis relevantes que tenham reflexos no patrimônio (políticas de depreciação, amortização e exaustão, por exemplo). É interessante detalhar contas como: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a. Caixa e equivalente de caixa;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b. Créditos a Curto Prazo e a Longo Prazo;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c. Investimentos RPPS;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d. Imobilizado – inclusive Reavaliações e Reduções ao valor recuperável;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e. Intangível;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>f. Fornecedores;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>g. Obrigações Trabalhistas, Previdenciárias e Assistenciais a Curto Prazo e a Longo Prazo;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>h. Provisões a Curto Prazo e a Longo Prazo;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i. Demais elementos patrimoniais, quando relevantes. </w:t>
      </w:r>
    </w:p>
    <w:p w:rsidR="002C3486" w:rsidRDefault="002C3486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23E9E" w:rsidRPr="00082C0C" w:rsidRDefault="007642DC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2C0C">
        <w:rPr>
          <w:rFonts w:ascii="Arial" w:hAnsi="Arial" w:cs="Arial"/>
          <w:b/>
          <w:sz w:val="24"/>
          <w:szCs w:val="24"/>
        </w:rPr>
        <w:lastRenderedPageBreak/>
        <w:t>3</w:t>
      </w:r>
      <w:r w:rsidR="00823E9E" w:rsidRPr="00082C0C">
        <w:rPr>
          <w:rFonts w:ascii="Arial" w:hAnsi="Arial" w:cs="Arial"/>
          <w:b/>
          <w:sz w:val="24"/>
          <w:szCs w:val="24"/>
        </w:rPr>
        <w:t>) Conteúdo das Notas Explicativas à Demonstração das Variações Patrimoniais:</w:t>
      </w:r>
      <w:r w:rsidR="00823E9E" w:rsidRPr="00082C0C">
        <w:rPr>
          <w:rFonts w:ascii="Arial" w:hAnsi="Arial" w:cs="Arial"/>
          <w:sz w:val="24"/>
          <w:szCs w:val="24"/>
        </w:rPr>
        <w:t xml:space="preserve"> É importante tratar em notas explicativas as variações patrimoniais aumentativas e diminutivas relevantes, podendo-se elaborar um quadro com análise vertical, demonstrando a representatividade de cada item em relação ao total das Variações Patrimoniais Aumentativas (VPA) ou das Variações Patrimoniais Diminutivas (VPD).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O resultado patrimonial do período também é </w:t>
      </w:r>
      <w:r w:rsidR="007642DC" w:rsidRPr="00082C0C">
        <w:rPr>
          <w:rFonts w:ascii="Arial" w:hAnsi="Arial" w:cs="Arial"/>
          <w:sz w:val="24"/>
          <w:szCs w:val="24"/>
        </w:rPr>
        <w:t xml:space="preserve">item interessante a se detalhar </w:t>
      </w:r>
      <w:r w:rsidRPr="00082C0C">
        <w:rPr>
          <w:rFonts w:ascii="Arial" w:hAnsi="Arial" w:cs="Arial"/>
          <w:sz w:val="24"/>
          <w:szCs w:val="24"/>
        </w:rPr>
        <w:t xml:space="preserve">em nota explicativa, fazendo uma análise horizontal em comparação com o exercício anterior, </w:t>
      </w:r>
      <w:proofErr w:type="spellStart"/>
      <w:r w:rsidRPr="00082C0C">
        <w:rPr>
          <w:rFonts w:ascii="Arial" w:hAnsi="Arial" w:cs="Arial"/>
          <w:sz w:val="24"/>
          <w:szCs w:val="24"/>
        </w:rPr>
        <w:t>identifi</w:t>
      </w:r>
      <w:proofErr w:type="spellEnd"/>
      <w:r w:rsidRPr="00082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2C0C">
        <w:rPr>
          <w:rFonts w:ascii="Arial" w:hAnsi="Arial" w:cs="Arial"/>
          <w:sz w:val="24"/>
          <w:szCs w:val="24"/>
        </w:rPr>
        <w:t>cando</w:t>
      </w:r>
      <w:proofErr w:type="spellEnd"/>
      <w:r w:rsidRPr="00082C0C">
        <w:rPr>
          <w:rFonts w:ascii="Arial" w:hAnsi="Arial" w:cs="Arial"/>
          <w:sz w:val="24"/>
          <w:szCs w:val="24"/>
        </w:rPr>
        <w:t xml:space="preserve"> as causas da eventual oscilação por meio das VPA e VPD. Ademais, a 7ª edição do MCASP alerta que algumas circunstâncias poderão ser apresentadas em notas explicativas, ainda que seus valores não sejam relevantes, por exemplo: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a. Redução ao valor recuperável no ativo imobilizado;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b. Baixas de investimento;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c. Constituição ou reversão de provisões. </w:t>
      </w:r>
    </w:p>
    <w:p w:rsidR="002C3486" w:rsidRDefault="002C3486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642DC" w:rsidRPr="00082C0C" w:rsidRDefault="007642DC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b/>
          <w:sz w:val="24"/>
          <w:szCs w:val="24"/>
        </w:rPr>
        <w:t>4</w:t>
      </w:r>
      <w:r w:rsidR="00823E9E" w:rsidRPr="00082C0C">
        <w:rPr>
          <w:rFonts w:ascii="Arial" w:hAnsi="Arial" w:cs="Arial"/>
          <w:b/>
          <w:sz w:val="24"/>
          <w:szCs w:val="24"/>
        </w:rPr>
        <w:t>) Conteúdo das Notas Explicativas ao Balanço Financeiro</w:t>
      </w:r>
      <w:r w:rsidR="00823E9E" w:rsidRPr="00082C0C">
        <w:rPr>
          <w:rFonts w:ascii="Arial" w:hAnsi="Arial" w:cs="Arial"/>
          <w:sz w:val="24"/>
          <w:szCs w:val="24"/>
        </w:rPr>
        <w:t xml:space="preserve">: Conforme as características de cada entidade, devem ser elaboradas notas explicativas sobre os pontos mais relevantes, sendo interessante fazer uma comparação do resultado financeiro do período, explicando, à luz dos ingressos e dispêndios, as causas principais que contribuíram para o resultado em análise. Com base na 7ª edição do MCASP, é possível destacar os seguintes itens para constarem em notas explicativas: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a. Transferências Financeiras Recebidas </w:t>
      </w:r>
      <w:r w:rsidR="007642DC" w:rsidRPr="00082C0C">
        <w:rPr>
          <w:rFonts w:ascii="Arial" w:hAnsi="Arial" w:cs="Arial"/>
          <w:sz w:val="24"/>
          <w:szCs w:val="24"/>
        </w:rPr>
        <w:t xml:space="preserve">e Concedidas – detalhar em nota </w:t>
      </w:r>
      <w:r w:rsidRPr="00082C0C">
        <w:rPr>
          <w:rFonts w:ascii="Arial" w:hAnsi="Arial" w:cs="Arial"/>
          <w:sz w:val="24"/>
          <w:szCs w:val="24"/>
        </w:rPr>
        <w:t>explicativa os valores recebidos e concedidos em transferência, demonstrando, no mínimo, unidade de</w:t>
      </w:r>
      <w:r w:rsidR="007642DC" w:rsidRPr="00082C0C">
        <w:rPr>
          <w:rFonts w:ascii="Arial" w:hAnsi="Arial" w:cs="Arial"/>
          <w:sz w:val="24"/>
          <w:szCs w:val="24"/>
        </w:rPr>
        <w:t xml:space="preserve"> origem, unidade de destino, fi</w:t>
      </w:r>
      <w:r w:rsidRPr="00082C0C">
        <w:rPr>
          <w:rFonts w:ascii="Arial" w:hAnsi="Arial" w:cs="Arial"/>
          <w:sz w:val="24"/>
          <w:szCs w:val="24"/>
        </w:rPr>
        <w:t xml:space="preserve">nalidade, ato legal, valor;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>b. Retenções tributárias – informar o tratamento destas, se são consideradas pagas no momento da liquidação ou apenas quando da saída efetiva dos recursos financeiros, uma</w:t>
      </w:r>
      <w:r w:rsidR="007642DC" w:rsidRPr="00082C0C">
        <w:rPr>
          <w:rFonts w:ascii="Arial" w:hAnsi="Arial" w:cs="Arial"/>
          <w:sz w:val="24"/>
          <w:szCs w:val="24"/>
        </w:rPr>
        <w:t xml:space="preserve"> </w:t>
      </w:r>
      <w:r w:rsidRPr="00082C0C">
        <w:rPr>
          <w:rFonts w:ascii="Arial" w:hAnsi="Arial" w:cs="Arial"/>
          <w:sz w:val="24"/>
          <w:szCs w:val="24"/>
        </w:rPr>
        <w:t xml:space="preserve">vez que caso sejam consideradas pagas no momento da liquidação, precisar-se-á promover </w:t>
      </w:r>
      <w:r w:rsidR="007642DC" w:rsidRPr="00082C0C">
        <w:rPr>
          <w:rFonts w:ascii="Arial" w:hAnsi="Arial" w:cs="Arial"/>
          <w:sz w:val="24"/>
          <w:szCs w:val="24"/>
        </w:rPr>
        <w:t>ajuste no saldo em espécie a fi</w:t>
      </w:r>
      <w:r w:rsidRPr="00082C0C">
        <w:rPr>
          <w:rFonts w:ascii="Arial" w:hAnsi="Arial" w:cs="Arial"/>
          <w:sz w:val="24"/>
          <w:szCs w:val="24"/>
        </w:rPr>
        <w:t xml:space="preserve">m de demonstrar que há um saldo vinculado a ser deduzido;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c. Restos a pagar processados e não processados – detalhar a inscrição por grupo de despesa, para uma análise mais apurada; e evidenciar o pagamento de RPP e RPNP em relação ao montante inscrito, podendo fazer uma análise horizontal para demonstrar a evolução nos dois períodos, exercício atual e anterior. </w:t>
      </w:r>
    </w:p>
    <w:p w:rsidR="002C3486" w:rsidRDefault="002C3486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642DC" w:rsidRPr="00082C0C" w:rsidRDefault="007642DC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b/>
          <w:sz w:val="24"/>
          <w:szCs w:val="24"/>
        </w:rPr>
        <w:lastRenderedPageBreak/>
        <w:t>5</w:t>
      </w:r>
      <w:r w:rsidR="00823E9E" w:rsidRPr="00082C0C">
        <w:rPr>
          <w:rFonts w:ascii="Arial" w:hAnsi="Arial" w:cs="Arial"/>
          <w:b/>
          <w:sz w:val="24"/>
          <w:szCs w:val="24"/>
        </w:rPr>
        <w:t>)</w:t>
      </w:r>
      <w:r w:rsidR="002C3486">
        <w:rPr>
          <w:rFonts w:ascii="Arial" w:hAnsi="Arial" w:cs="Arial"/>
          <w:b/>
          <w:sz w:val="24"/>
          <w:szCs w:val="24"/>
        </w:rPr>
        <w:t xml:space="preserve"> </w:t>
      </w:r>
      <w:r w:rsidR="00823E9E" w:rsidRPr="00082C0C">
        <w:rPr>
          <w:rFonts w:ascii="Arial" w:hAnsi="Arial" w:cs="Arial"/>
          <w:b/>
          <w:sz w:val="24"/>
          <w:szCs w:val="24"/>
        </w:rPr>
        <w:t>Conteúdo das Notas Explicativas à Demonstração dos Fluxos de Caixa:</w:t>
      </w:r>
      <w:r w:rsidR="00823E9E" w:rsidRPr="00082C0C">
        <w:rPr>
          <w:rFonts w:ascii="Arial" w:hAnsi="Arial" w:cs="Arial"/>
          <w:sz w:val="24"/>
          <w:szCs w:val="24"/>
        </w:rPr>
        <w:t xml:space="preserve"> Considerando a relevância, sugere-se que as Notas Explicativas sejam segregadas por tipo de fluxo: das atividades operacionais, de investimentos ou de financiamento, sempre buscando explicar as oscilações por meio da análise horizontal dos </w:t>
      </w:r>
      <w:r w:rsidRPr="00082C0C">
        <w:rPr>
          <w:rFonts w:ascii="Arial" w:hAnsi="Arial" w:cs="Arial"/>
          <w:sz w:val="24"/>
          <w:szCs w:val="24"/>
        </w:rPr>
        <w:t>itens. Assim como no balanço fi</w:t>
      </w:r>
      <w:r w:rsidR="00823E9E" w:rsidRPr="00082C0C">
        <w:rPr>
          <w:rFonts w:ascii="Arial" w:hAnsi="Arial" w:cs="Arial"/>
          <w:sz w:val="24"/>
          <w:szCs w:val="24"/>
        </w:rPr>
        <w:t>nanceiro, o tratamento das retenções pode ser objeto de Notas Explicativas à Demonstração dos Fluxos de Caixa, uma vez que pode impactar no saldo de caixa e equivalente de caixa da unidade. Ademais, salienta-se que as transações de investimento e financiamento que não envolvem o uso de caixa ou equivalentes de caixa, como aquisições financiadas de bens e arrendamento financeiro, não devem ser incluídas na demonstração dos fluxos de caixa, devendo então serem divulgadas nas notas explicativas à demonstração, de modo que forneçam todas as informações relevantes sobre essas transações.</w:t>
      </w:r>
    </w:p>
    <w:p w:rsidR="002C3486" w:rsidRDefault="002C3486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23E9E" w:rsidRPr="00082C0C" w:rsidRDefault="007642DC" w:rsidP="004E43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2C0C">
        <w:rPr>
          <w:rFonts w:ascii="Arial" w:hAnsi="Arial" w:cs="Arial"/>
          <w:b/>
          <w:sz w:val="24"/>
          <w:szCs w:val="24"/>
        </w:rPr>
        <w:t>6</w:t>
      </w:r>
      <w:r w:rsidR="00823E9E" w:rsidRPr="00082C0C">
        <w:rPr>
          <w:rFonts w:ascii="Arial" w:hAnsi="Arial" w:cs="Arial"/>
          <w:b/>
          <w:sz w:val="24"/>
          <w:szCs w:val="24"/>
        </w:rPr>
        <w:t>) Conteúdo das Notas Explicativas à Demonstração das Mutações do Patrimônio Líquido:</w:t>
      </w:r>
      <w:r w:rsidR="00823E9E" w:rsidRPr="00082C0C">
        <w:rPr>
          <w:rFonts w:ascii="Arial" w:hAnsi="Arial" w:cs="Arial"/>
          <w:sz w:val="24"/>
          <w:szCs w:val="24"/>
        </w:rPr>
        <w:t xml:space="preserve"> Na DMPL, pode-se incluir nota explicativa para os itens que tiverem maiores mutações no período, tais como: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a. Capital/Patrimônio Social – explicar as motivações das alterações;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b. Resultados Acumulados – analisar, em especial, o resultado do exercício; </w:t>
      </w:r>
    </w:p>
    <w:p w:rsidR="007642DC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 xml:space="preserve">c. Ajustes dos exercícios anteriores – indicar os ajustes mais relevantes durante o período, informando suas causas e consequências sobre as demonstrações contábeis. </w:t>
      </w:r>
    </w:p>
    <w:p w:rsidR="00823E9E" w:rsidRPr="00082C0C" w:rsidRDefault="00823E9E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C0C">
        <w:rPr>
          <w:rFonts w:ascii="Arial" w:hAnsi="Arial" w:cs="Arial"/>
          <w:sz w:val="24"/>
          <w:szCs w:val="24"/>
        </w:rPr>
        <w:t>d. Ajustes de avaliação patrimonial – explicar as transações que durante o período geraram lançamentos nessa conta.</w:t>
      </w:r>
    </w:p>
    <w:p w:rsidR="00082C0C" w:rsidRDefault="00082C0C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73B7" w:rsidRDefault="004E43D0" w:rsidP="004E43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Chapecó, </w:t>
      </w:r>
      <w:r w:rsidR="00A568FA">
        <w:rPr>
          <w:rFonts w:ascii="Arial" w:hAnsi="Arial" w:cs="Arial"/>
          <w:sz w:val="24"/>
          <w:szCs w:val="24"/>
        </w:rPr>
        <w:t>1</w:t>
      </w:r>
      <w:r w:rsidR="009B7CF2">
        <w:rPr>
          <w:rFonts w:ascii="Arial" w:hAnsi="Arial" w:cs="Arial"/>
          <w:sz w:val="24"/>
          <w:szCs w:val="24"/>
        </w:rPr>
        <w:t xml:space="preserve">9 </w:t>
      </w:r>
      <w:r w:rsidR="00A568FA">
        <w:rPr>
          <w:rFonts w:ascii="Arial" w:hAnsi="Arial" w:cs="Arial"/>
          <w:sz w:val="24"/>
          <w:szCs w:val="24"/>
        </w:rPr>
        <w:t>de novembro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4E43D0" w:rsidRDefault="009B7CF2" w:rsidP="009B7CF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B7070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95450" cy="1743075"/>
            <wp:effectExtent l="0" t="0" r="0" b="9525"/>
            <wp:docPr id="1" name="Imagem 1" descr="assinatura angelita 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angelita PU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D0" w:rsidRPr="004E43D0" w:rsidRDefault="004E43D0" w:rsidP="002C3486">
      <w:pPr>
        <w:jc w:val="center"/>
        <w:rPr>
          <w:rFonts w:ascii="Arial" w:hAnsi="Arial" w:cs="Arial"/>
          <w:b/>
          <w:sz w:val="24"/>
          <w:szCs w:val="24"/>
        </w:rPr>
      </w:pPr>
      <w:r w:rsidRPr="004E43D0">
        <w:rPr>
          <w:rFonts w:ascii="Arial" w:hAnsi="Arial" w:cs="Arial"/>
          <w:b/>
          <w:sz w:val="24"/>
          <w:szCs w:val="24"/>
        </w:rPr>
        <w:t>Angelita Adriane de Conto</w:t>
      </w:r>
    </w:p>
    <w:p w:rsidR="004E43D0" w:rsidRDefault="004E43D0" w:rsidP="002C34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PÚBLICA ASSESSORIA EM CONTABILIDADE E GESTÃO EIRELI ME</w:t>
      </w:r>
    </w:p>
    <w:p w:rsidR="00F35760" w:rsidRPr="006D1F55" w:rsidRDefault="004E43D0" w:rsidP="002C34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</w:t>
      </w:r>
      <w:r w:rsidRPr="00BE5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16.457.852/0001-42</w:t>
      </w:r>
    </w:p>
    <w:sectPr w:rsidR="00F35760" w:rsidRPr="006D1F5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33" w:rsidRDefault="00045F33" w:rsidP="006D1F55">
      <w:pPr>
        <w:spacing w:after="0" w:line="240" w:lineRule="auto"/>
      </w:pPr>
      <w:r>
        <w:separator/>
      </w:r>
    </w:p>
  </w:endnote>
  <w:endnote w:type="continuationSeparator" w:id="0">
    <w:p w:rsidR="00045F33" w:rsidRDefault="00045F33" w:rsidP="006D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33" w:rsidRDefault="00045F33" w:rsidP="006D1F55">
      <w:pPr>
        <w:spacing w:after="0" w:line="240" w:lineRule="auto"/>
      </w:pPr>
      <w:r>
        <w:separator/>
      </w:r>
    </w:p>
  </w:footnote>
  <w:footnote w:type="continuationSeparator" w:id="0">
    <w:p w:rsidR="00045F33" w:rsidRDefault="00045F33" w:rsidP="006D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55" w:rsidRPr="009577AE" w:rsidRDefault="006D1F55" w:rsidP="006D1F55">
    <w:pPr>
      <w:pStyle w:val="Cabealho"/>
      <w:jc w:val="center"/>
      <w:rPr>
        <w:rFonts w:ascii="Arial" w:hAnsi="Arial" w:cs="Arial"/>
        <w:b/>
        <w:color w:val="002060"/>
        <w:sz w:val="20"/>
        <w:szCs w:val="20"/>
      </w:rPr>
    </w:pPr>
    <w:r w:rsidRPr="009577AE">
      <w:rPr>
        <w:rFonts w:ascii="Arial" w:hAnsi="Arial" w:cs="Arial"/>
        <w:b/>
        <w:color w:val="002060"/>
        <w:sz w:val="20"/>
        <w:szCs w:val="20"/>
      </w:rPr>
      <w:t>PÚBLICA A</w:t>
    </w:r>
    <w:r w:rsidR="004E43D0" w:rsidRPr="009577AE">
      <w:rPr>
        <w:rFonts w:ascii="Arial" w:hAnsi="Arial" w:cs="Arial"/>
        <w:b/>
        <w:color w:val="002060"/>
        <w:sz w:val="20"/>
        <w:szCs w:val="20"/>
      </w:rPr>
      <w:t>SSESSORIA EM CONTABILIDADE E GE</w:t>
    </w:r>
    <w:r w:rsidRPr="009577AE">
      <w:rPr>
        <w:rFonts w:ascii="Arial" w:hAnsi="Arial" w:cs="Arial"/>
        <w:b/>
        <w:color w:val="002060"/>
        <w:sz w:val="20"/>
        <w:szCs w:val="20"/>
      </w:rPr>
      <w:t>S</w:t>
    </w:r>
    <w:r w:rsidR="004E43D0" w:rsidRPr="009577AE">
      <w:rPr>
        <w:rFonts w:ascii="Arial" w:hAnsi="Arial" w:cs="Arial"/>
        <w:b/>
        <w:color w:val="002060"/>
        <w:sz w:val="20"/>
        <w:szCs w:val="20"/>
      </w:rPr>
      <w:t>T</w:t>
    </w:r>
    <w:r w:rsidRPr="009577AE">
      <w:rPr>
        <w:rFonts w:ascii="Arial" w:hAnsi="Arial" w:cs="Arial"/>
        <w:b/>
        <w:color w:val="002060"/>
        <w:sz w:val="20"/>
        <w:szCs w:val="20"/>
      </w:rPr>
      <w:t>ÃO EIRELI ME</w:t>
    </w:r>
  </w:p>
  <w:p w:rsidR="006D1F55" w:rsidRDefault="006D1F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9EF"/>
    <w:multiLevelType w:val="hybridMultilevel"/>
    <w:tmpl w:val="ADE6CA22"/>
    <w:lvl w:ilvl="0" w:tplc="1264083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3334"/>
    <w:multiLevelType w:val="hybridMultilevel"/>
    <w:tmpl w:val="0B3E87C4"/>
    <w:lvl w:ilvl="0" w:tplc="392E175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B857EFC"/>
    <w:multiLevelType w:val="hybridMultilevel"/>
    <w:tmpl w:val="C5804C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2FD2"/>
    <w:multiLevelType w:val="hybridMultilevel"/>
    <w:tmpl w:val="6E74B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0753"/>
    <w:multiLevelType w:val="hybridMultilevel"/>
    <w:tmpl w:val="9C04BF1E"/>
    <w:lvl w:ilvl="0" w:tplc="F35A6B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A1F2E"/>
    <w:multiLevelType w:val="hybridMultilevel"/>
    <w:tmpl w:val="D29A182C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A769E"/>
    <w:multiLevelType w:val="hybridMultilevel"/>
    <w:tmpl w:val="1C94E242"/>
    <w:lvl w:ilvl="0" w:tplc="30B604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8540E"/>
    <w:multiLevelType w:val="hybridMultilevel"/>
    <w:tmpl w:val="D9BCA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E238D"/>
    <w:multiLevelType w:val="hybridMultilevel"/>
    <w:tmpl w:val="A126A438"/>
    <w:lvl w:ilvl="0" w:tplc="B3461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266F6"/>
    <w:multiLevelType w:val="hybridMultilevel"/>
    <w:tmpl w:val="9E3865D8"/>
    <w:lvl w:ilvl="0" w:tplc="63701A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9E"/>
    <w:rsid w:val="00045F33"/>
    <w:rsid w:val="00055BFC"/>
    <w:rsid w:val="00080523"/>
    <w:rsid w:val="00082C0C"/>
    <w:rsid w:val="002555CD"/>
    <w:rsid w:val="002C3486"/>
    <w:rsid w:val="004E43D0"/>
    <w:rsid w:val="005922AB"/>
    <w:rsid w:val="006816D4"/>
    <w:rsid w:val="006B6303"/>
    <w:rsid w:val="006D1F55"/>
    <w:rsid w:val="007025C8"/>
    <w:rsid w:val="007642DC"/>
    <w:rsid w:val="007E06F7"/>
    <w:rsid w:val="00823E9E"/>
    <w:rsid w:val="00875FD4"/>
    <w:rsid w:val="009577AE"/>
    <w:rsid w:val="009A1433"/>
    <w:rsid w:val="009B7CF2"/>
    <w:rsid w:val="00A273B7"/>
    <w:rsid w:val="00A527CC"/>
    <w:rsid w:val="00A568FA"/>
    <w:rsid w:val="00B10094"/>
    <w:rsid w:val="00BA1B0B"/>
    <w:rsid w:val="00D16C15"/>
    <w:rsid w:val="00EE7A57"/>
    <w:rsid w:val="00F22D05"/>
    <w:rsid w:val="00F35760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E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F55"/>
  </w:style>
  <w:style w:type="paragraph" w:styleId="Rodap">
    <w:name w:val="footer"/>
    <w:basedOn w:val="Normal"/>
    <w:link w:val="RodapChar"/>
    <w:uiPriority w:val="99"/>
    <w:unhideWhenUsed/>
    <w:rsid w:val="006D1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F55"/>
  </w:style>
  <w:style w:type="paragraph" w:styleId="Textodebalo">
    <w:name w:val="Balloon Text"/>
    <w:basedOn w:val="Normal"/>
    <w:link w:val="TextodebaloChar"/>
    <w:uiPriority w:val="99"/>
    <w:semiHidden/>
    <w:unhideWhenUsed/>
    <w:rsid w:val="009A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E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F55"/>
  </w:style>
  <w:style w:type="paragraph" w:styleId="Rodap">
    <w:name w:val="footer"/>
    <w:basedOn w:val="Normal"/>
    <w:link w:val="RodapChar"/>
    <w:uiPriority w:val="99"/>
    <w:unhideWhenUsed/>
    <w:rsid w:val="006D1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F55"/>
  </w:style>
  <w:style w:type="paragraph" w:styleId="Textodebalo">
    <w:name w:val="Balloon Text"/>
    <w:basedOn w:val="Normal"/>
    <w:link w:val="TextodebaloChar"/>
    <w:uiPriority w:val="99"/>
    <w:semiHidden/>
    <w:unhideWhenUsed/>
    <w:rsid w:val="009A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1452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Pedrinho</cp:lastModifiedBy>
  <cp:revision>24</cp:revision>
  <cp:lastPrinted>2018-10-26T19:46:00Z</cp:lastPrinted>
  <dcterms:created xsi:type="dcterms:W3CDTF">2018-10-26T16:42:00Z</dcterms:created>
  <dcterms:modified xsi:type="dcterms:W3CDTF">2018-12-11T04:06:00Z</dcterms:modified>
</cp:coreProperties>
</file>