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r w:rsidRPr="005E2C06">
        <w:rPr>
          <w:rFonts w:ascii="Arial" w:eastAsia="Times New Roman" w:hAnsi="Arial" w:cs="Arial"/>
          <w:vanish/>
          <w:color w:val="333333"/>
          <w:sz w:val="21"/>
          <w:szCs w:val="21"/>
          <w:lang w:eastAsia="pt-BR"/>
        </w:rPr>
        <w:fldChar w:fldCharType="begin"/>
      </w:r>
      <w:r w:rsidRPr="005E2C06">
        <w:rPr>
          <w:rFonts w:ascii="Arial" w:eastAsia="Times New Roman" w:hAnsi="Arial" w:cs="Arial"/>
          <w:vanish/>
          <w:color w:val="333333"/>
          <w:sz w:val="21"/>
          <w:szCs w:val="21"/>
          <w:lang w:eastAsia="pt-BR"/>
        </w:rPr>
        <w:instrText xml:space="preserve"> HYPERLINK "https://www.comprasgovernamentais.gov.br/index.php/novo-portal-de-compras" </w:instrText>
      </w:r>
      <w:r w:rsidRPr="005E2C06">
        <w:rPr>
          <w:rFonts w:ascii="Arial" w:eastAsia="Times New Roman" w:hAnsi="Arial" w:cs="Arial"/>
          <w:vanish/>
          <w:color w:val="333333"/>
          <w:sz w:val="21"/>
          <w:szCs w:val="21"/>
          <w:lang w:eastAsia="pt-BR"/>
        </w:rPr>
        <w:fldChar w:fldCharType="separate"/>
      </w:r>
      <w:r w:rsidRPr="005E2C06">
        <w:rPr>
          <w:rFonts w:ascii="Times New Roman" w:eastAsia="Times New Roman" w:hAnsi="Times New Roman" w:cs="Times New Roman"/>
          <w:vanish/>
          <w:color w:val="0088CC"/>
          <w:sz w:val="21"/>
          <w:szCs w:val="21"/>
          <w:lang w:eastAsia="pt-BR"/>
        </w:rPr>
        <w:t>Novo Portal de Compras</w:t>
      </w:r>
      <w:r w:rsidRPr="005E2C06">
        <w:rPr>
          <w:rFonts w:ascii="Arial" w:eastAsia="Times New Roman" w:hAnsi="Arial" w:cs="Arial"/>
          <w:vanish/>
          <w:color w:val="333333"/>
          <w:sz w:val="21"/>
          <w:szCs w:val="21"/>
          <w:lang w:eastAsia="pt-BR"/>
        </w:rPr>
        <w:fldChar w:fldCharType="end"/>
      </w:r>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6" w:history="1">
        <w:r w:rsidRPr="005E2C06">
          <w:rPr>
            <w:rFonts w:ascii="Times New Roman" w:eastAsia="Times New Roman" w:hAnsi="Times New Roman" w:cs="Times New Roman"/>
            <w:vanish/>
            <w:color w:val="0088CC"/>
            <w:sz w:val="21"/>
            <w:szCs w:val="21"/>
            <w:lang w:eastAsia="pt-BR"/>
          </w:rPr>
          <w:t>Departamento de Normas e Sistemas de Logística</w:t>
        </w:r>
      </w:hyperlink>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7" w:history="1">
        <w:r w:rsidRPr="005E2C06">
          <w:rPr>
            <w:rFonts w:ascii="Times New Roman" w:eastAsia="Times New Roman" w:hAnsi="Times New Roman" w:cs="Times New Roman"/>
            <w:vanish/>
            <w:color w:val="0088CC"/>
            <w:sz w:val="21"/>
            <w:szCs w:val="21"/>
            <w:lang w:eastAsia="pt-BR"/>
          </w:rPr>
          <w:t>SISG</w:t>
        </w:r>
      </w:hyperlink>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8" w:history="1">
        <w:r w:rsidRPr="005E2C06">
          <w:rPr>
            <w:rFonts w:ascii="Times New Roman" w:eastAsia="Times New Roman" w:hAnsi="Times New Roman" w:cs="Times New Roman"/>
            <w:vanish/>
            <w:color w:val="0088CC"/>
            <w:sz w:val="21"/>
            <w:szCs w:val="21"/>
            <w:lang w:eastAsia="pt-BR"/>
          </w:rPr>
          <w:t>Processo Eletrônico Nacional</w:t>
        </w:r>
      </w:hyperlink>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9" w:history="1">
        <w:r w:rsidRPr="005E2C06">
          <w:rPr>
            <w:rFonts w:ascii="Times New Roman" w:eastAsia="Times New Roman" w:hAnsi="Times New Roman" w:cs="Times New Roman"/>
            <w:vanish/>
            <w:color w:val="0088CC"/>
            <w:sz w:val="21"/>
            <w:szCs w:val="21"/>
            <w:lang w:eastAsia="pt-BR"/>
          </w:rPr>
          <w:t>Central de Compras</w:t>
        </w:r>
      </w:hyperlink>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10" w:history="1">
        <w:r w:rsidRPr="005E2C06">
          <w:rPr>
            <w:rFonts w:ascii="Times New Roman" w:eastAsia="Times New Roman" w:hAnsi="Times New Roman" w:cs="Times New Roman"/>
            <w:vanish/>
            <w:color w:val="0088CC"/>
            <w:sz w:val="21"/>
            <w:szCs w:val="21"/>
            <w:lang w:eastAsia="pt-BR"/>
          </w:rPr>
          <w:t>Legislação</w:t>
        </w:r>
      </w:hyperlink>
    </w:p>
    <w:p w:rsidR="005E2C06" w:rsidRPr="005E2C06" w:rsidRDefault="005E2C06" w:rsidP="005E2C06">
      <w:pPr>
        <w:numPr>
          <w:ilvl w:val="1"/>
          <w:numId w:val="1"/>
        </w:numPr>
        <w:spacing w:before="100" w:beforeAutospacing="1" w:after="100" w:afterAutospacing="1" w:line="300" w:lineRule="atLeast"/>
        <w:ind w:left="750"/>
        <w:rPr>
          <w:rFonts w:ascii="Arial" w:eastAsia="Times New Roman" w:hAnsi="Arial" w:cs="Arial"/>
          <w:vanish/>
          <w:color w:val="333333"/>
          <w:sz w:val="21"/>
          <w:szCs w:val="21"/>
          <w:lang w:eastAsia="pt-BR"/>
        </w:rPr>
      </w:pPr>
      <w:hyperlink r:id="rId11" w:history="1">
        <w:r w:rsidRPr="005E2C06">
          <w:rPr>
            <w:rFonts w:ascii="Times New Roman" w:eastAsia="Times New Roman" w:hAnsi="Times New Roman" w:cs="Times New Roman"/>
            <w:vanish/>
            <w:color w:val="0088CC"/>
            <w:sz w:val="21"/>
            <w:szCs w:val="21"/>
            <w:lang w:eastAsia="pt-BR"/>
          </w:rPr>
          <w:t>Leis</w:t>
        </w:r>
      </w:hyperlink>
    </w:p>
    <w:p w:rsidR="005E2C06" w:rsidRPr="005E2C06" w:rsidRDefault="005E2C06" w:rsidP="005E2C06">
      <w:pPr>
        <w:numPr>
          <w:ilvl w:val="1"/>
          <w:numId w:val="1"/>
        </w:numPr>
        <w:spacing w:before="100" w:beforeAutospacing="1" w:after="100" w:afterAutospacing="1" w:line="300" w:lineRule="atLeast"/>
        <w:ind w:left="750"/>
        <w:rPr>
          <w:rFonts w:ascii="Arial" w:eastAsia="Times New Roman" w:hAnsi="Arial" w:cs="Arial"/>
          <w:vanish/>
          <w:color w:val="333333"/>
          <w:sz w:val="21"/>
          <w:szCs w:val="21"/>
          <w:lang w:eastAsia="pt-BR"/>
        </w:rPr>
      </w:pPr>
      <w:hyperlink r:id="rId12" w:history="1">
        <w:r w:rsidRPr="005E2C06">
          <w:rPr>
            <w:rFonts w:ascii="Times New Roman" w:eastAsia="Times New Roman" w:hAnsi="Times New Roman" w:cs="Times New Roman"/>
            <w:vanish/>
            <w:color w:val="0088CC"/>
            <w:sz w:val="21"/>
            <w:szCs w:val="21"/>
            <w:lang w:eastAsia="pt-BR"/>
          </w:rPr>
          <w:t>Decretos</w:t>
        </w:r>
      </w:hyperlink>
    </w:p>
    <w:p w:rsidR="005E2C06" w:rsidRPr="005E2C06" w:rsidRDefault="005E2C06" w:rsidP="005E2C06">
      <w:pPr>
        <w:numPr>
          <w:ilvl w:val="1"/>
          <w:numId w:val="1"/>
        </w:numPr>
        <w:spacing w:before="100" w:beforeAutospacing="1" w:after="100" w:afterAutospacing="1" w:line="300" w:lineRule="atLeast"/>
        <w:ind w:left="750"/>
        <w:rPr>
          <w:rFonts w:ascii="Arial" w:eastAsia="Times New Roman" w:hAnsi="Arial" w:cs="Arial"/>
          <w:vanish/>
          <w:color w:val="333333"/>
          <w:sz w:val="21"/>
          <w:szCs w:val="21"/>
          <w:lang w:eastAsia="pt-BR"/>
        </w:rPr>
      </w:pPr>
      <w:hyperlink r:id="rId13" w:history="1">
        <w:r w:rsidRPr="005E2C06">
          <w:rPr>
            <w:rFonts w:ascii="Times New Roman" w:eastAsia="Times New Roman" w:hAnsi="Times New Roman" w:cs="Times New Roman"/>
            <w:vanish/>
            <w:color w:val="0088CC"/>
            <w:sz w:val="21"/>
            <w:szCs w:val="21"/>
            <w:lang w:eastAsia="pt-BR"/>
          </w:rPr>
          <w:t>Instruções Normativas</w:t>
        </w:r>
      </w:hyperlink>
    </w:p>
    <w:p w:rsidR="005E2C06" w:rsidRPr="005E2C06" w:rsidRDefault="005E2C06" w:rsidP="005E2C06">
      <w:pPr>
        <w:numPr>
          <w:ilvl w:val="2"/>
          <w:numId w:val="1"/>
        </w:numPr>
        <w:spacing w:before="100" w:beforeAutospacing="1" w:after="100" w:afterAutospacing="1" w:line="300" w:lineRule="atLeast"/>
        <w:ind w:left="1125"/>
        <w:rPr>
          <w:rFonts w:ascii="Arial" w:eastAsia="Times New Roman" w:hAnsi="Arial" w:cs="Arial"/>
          <w:vanish/>
          <w:color w:val="333333"/>
          <w:sz w:val="21"/>
          <w:szCs w:val="21"/>
          <w:lang w:eastAsia="pt-BR"/>
        </w:rPr>
      </w:pPr>
      <w:hyperlink r:id="rId14" w:history="1">
        <w:r w:rsidRPr="005E2C06">
          <w:rPr>
            <w:rFonts w:ascii="Times New Roman" w:eastAsia="Times New Roman" w:hAnsi="Times New Roman" w:cs="Times New Roman"/>
            <w:vanish/>
            <w:color w:val="0088CC"/>
            <w:sz w:val="21"/>
            <w:szCs w:val="21"/>
            <w:lang w:eastAsia="pt-BR"/>
          </w:rPr>
          <w:t>Instrução Normativa de Serviços</w:t>
        </w:r>
      </w:hyperlink>
    </w:p>
    <w:p w:rsidR="005E2C06" w:rsidRPr="005E2C06" w:rsidRDefault="005E2C06" w:rsidP="005E2C06">
      <w:pPr>
        <w:numPr>
          <w:ilvl w:val="1"/>
          <w:numId w:val="1"/>
        </w:numPr>
        <w:spacing w:before="100" w:beforeAutospacing="1" w:after="100" w:afterAutospacing="1" w:line="300" w:lineRule="atLeast"/>
        <w:ind w:left="750"/>
        <w:rPr>
          <w:rFonts w:ascii="Arial" w:eastAsia="Times New Roman" w:hAnsi="Arial" w:cs="Arial"/>
          <w:vanish/>
          <w:color w:val="333333"/>
          <w:sz w:val="21"/>
          <w:szCs w:val="21"/>
          <w:lang w:eastAsia="pt-BR"/>
        </w:rPr>
      </w:pPr>
      <w:hyperlink r:id="rId15" w:history="1">
        <w:r w:rsidRPr="005E2C06">
          <w:rPr>
            <w:rFonts w:ascii="Times New Roman" w:eastAsia="Times New Roman" w:hAnsi="Times New Roman" w:cs="Times New Roman"/>
            <w:vanish/>
            <w:color w:val="0088CC"/>
            <w:sz w:val="21"/>
            <w:szCs w:val="21"/>
            <w:lang w:eastAsia="pt-BR"/>
          </w:rPr>
          <w:t>Portarias</w:t>
        </w:r>
      </w:hyperlink>
    </w:p>
    <w:p w:rsidR="005E2C06" w:rsidRPr="005E2C06" w:rsidRDefault="005E2C06" w:rsidP="005E2C06">
      <w:pPr>
        <w:numPr>
          <w:ilvl w:val="1"/>
          <w:numId w:val="1"/>
        </w:numPr>
        <w:spacing w:before="100" w:beforeAutospacing="1" w:after="100" w:afterAutospacing="1" w:line="300" w:lineRule="atLeast"/>
        <w:ind w:left="750"/>
        <w:rPr>
          <w:rFonts w:ascii="Arial" w:eastAsia="Times New Roman" w:hAnsi="Arial" w:cs="Arial"/>
          <w:vanish/>
          <w:color w:val="333333"/>
          <w:sz w:val="21"/>
          <w:szCs w:val="21"/>
          <w:lang w:eastAsia="pt-BR"/>
        </w:rPr>
      </w:pPr>
      <w:hyperlink r:id="rId16" w:history="1">
        <w:r w:rsidRPr="005E2C06">
          <w:rPr>
            <w:rFonts w:ascii="Times New Roman" w:eastAsia="Times New Roman" w:hAnsi="Times New Roman" w:cs="Times New Roman"/>
            <w:vanish/>
            <w:color w:val="0088CC"/>
            <w:sz w:val="21"/>
            <w:szCs w:val="21"/>
            <w:lang w:eastAsia="pt-BR"/>
          </w:rPr>
          <w:t>Resoluções</w:t>
        </w:r>
      </w:hyperlink>
    </w:p>
    <w:p w:rsidR="005E2C06" w:rsidRPr="005E2C06" w:rsidRDefault="005E2C06" w:rsidP="005E2C06">
      <w:pPr>
        <w:numPr>
          <w:ilvl w:val="1"/>
          <w:numId w:val="1"/>
        </w:numPr>
        <w:spacing w:before="100" w:beforeAutospacing="1" w:after="100" w:afterAutospacing="1" w:line="300" w:lineRule="atLeast"/>
        <w:ind w:left="750"/>
        <w:rPr>
          <w:rFonts w:ascii="Arial" w:eastAsia="Times New Roman" w:hAnsi="Arial" w:cs="Arial"/>
          <w:vanish/>
          <w:color w:val="333333"/>
          <w:sz w:val="21"/>
          <w:szCs w:val="21"/>
          <w:lang w:eastAsia="pt-BR"/>
        </w:rPr>
      </w:pPr>
      <w:hyperlink r:id="rId17" w:history="1">
        <w:r w:rsidRPr="005E2C06">
          <w:rPr>
            <w:rFonts w:ascii="Times New Roman" w:eastAsia="Times New Roman" w:hAnsi="Times New Roman" w:cs="Times New Roman"/>
            <w:vanish/>
            <w:color w:val="0088CC"/>
            <w:sz w:val="21"/>
            <w:szCs w:val="21"/>
            <w:lang w:eastAsia="pt-BR"/>
          </w:rPr>
          <w:t>Orientações Normativas</w:t>
        </w:r>
      </w:hyperlink>
    </w:p>
    <w:p w:rsidR="005E2C06" w:rsidRPr="005E2C06" w:rsidRDefault="005E2C06" w:rsidP="005E2C06">
      <w:pPr>
        <w:numPr>
          <w:ilvl w:val="1"/>
          <w:numId w:val="1"/>
        </w:numPr>
        <w:spacing w:before="100" w:beforeAutospacing="1" w:after="100" w:afterAutospacing="1" w:line="300" w:lineRule="atLeast"/>
        <w:ind w:left="750"/>
        <w:rPr>
          <w:rFonts w:ascii="Arial" w:eastAsia="Times New Roman" w:hAnsi="Arial" w:cs="Arial"/>
          <w:vanish/>
          <w:color w:val="333333"/>
          <w:sz w:val="21"/>
          <w:szCs w:val="21"/>
          <w:lang w:eastAsia="pt-BR"/>
        </w:rPr>
      </w:pPr>
      <w:hyperlink r:id="rId18" w:history="1">
        <w:r w:rsidRPr="005E2C06">
          <w:rPr>
            <w:rFonts w:ascii="Times New Roman" w:eastAsia="Times New Roman" w:hAnsi="Times New Roman" w:cs="Times New Roman"/>
            <w:vanish/>
            <w:color w:val="0088CC"/>
            <w:sz w:val="21"/>
            <w:szCs w:val="21"/>
            <w:lang w:eastAsia="pt-BR"/>
          </w:rPr>
          <w:t>Legislação por Tema</w:t>
        </w:r>
      </w:hyperlink>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19" w:history="1">
        <w:r w:rsidRPr="005E2C06">
          <w:rPr>
            <w:rFonts w:ascii="Times New Roman" w:eastAsia="Times New Roman" w:hAnsi="Times New Roman" w:cs="Times New Roman"/>
            <w:vanish/>
            <w:color w:val="0088CC"/>
            <w:sz w:val="21"/>
            <w:szCs w:val="21"/>
            <w:lang w:eastAsia="pt-BR"/>
          </w:rPr>
          <w:t>Publicações</w:t>
        </w:r>
      </w:hyperlink>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20" w:history="1">
        <w:r w:rsidRPr="005E2C06">
          <w:rPr>
            <w:rFonts w:ascii="Times New Roman" w:eastAsia="Times New Roman" w:hAnsi="Times New Roman" w:cs="Times New Roman"/>
            <w:vanish/>
            <w:color w:val="0088CC"/>
            <w:sz w:val="21"/>
            <w:szCs w:val="21"/>
            <w:lang w:eastAsia="pt-BR"/>
          </w:rPr>
          <w:t>Perguntas Frequentes</w:t>
        </w:r>
      </w:hyperlink>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21" w:history="1">
        <w:r w:rsidRPr="005E2C06">
          <w:rPr>
            <w:rFonts w:ascii="Times New Roman" w:eastAsia="Times New Roman" w:hAnsi="Times New Roman" w:cs="Times New Roman"/>
            <w:vanish/>
            <w:color w:val="0088CC"/>
            <w:sz w:val="21"/>
            <w:szCs w:val="21"/>
            <w:lang w:eastAsia="pt-BR"/>
          </w:rPr>
          <w:t>Links Úteis</w:t>
        </w:r>
      </w:hyperlink>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22" w:history="1">
        <w:r w:rsidRPr="005E2C06">
          <w:rPr>
            <w:rFonts w:ascii="Times New Roman" w:eastAsia="Times New Roman" w:hAnsi="Times New Roman" w:cs="Times New Roman"/>
            <w:vanish/>
            <w:color w:val="0088CC"/>
            <w:sz w:val="21"/>
            <w:szCs w:val="21"/>
            <w:lang w:eastAsia="pt-BR"/>
          </w:rPr>
          <w:t>Posso ajudar?</w:t>
        </w:r>
      </w:hyperlink>
    </w:p>
    <w:p w:rsidR="005E2C06" w:rsidRPr="005E2C06" w:rsidRDefault="005E2C06" w:rsidP="005E2C06">
      <w:pPr>
        <w:numPr>
          <w:ilvl w:val="0"/>
          <w:numId w:val="1"/>
        </w:numPr>
        <w:spacing w:before="100" w:beforeAutospacing="1" w:after="100" w:afterAutospacing="1" w:line="300" w:lineRule="atLeast"/>
        <w:ind w:left="375"/>
        <w:rPr>
          <w:rFonts w:ascii="Arial" w:eastAsia="Times New Roman" w:hAnsi="Arial" w:cs="Arial"/>
          <w:vanish/>
          <w:color w:val="333333"/>
          <w:sz w:val="21"/>
          <w:szCs w:val="21"/>
          <w:lang w:eastAsia="pt-BR"/>
        </w:rPr>
      </w:pPr>
      <w:hyperlink r:id="rId23" w:history="1">
        <w:r w:rsidRPr="005E2C06">
          <w:rPr>
            <w:rFonts w:ascii="Times New Roman" w:eastAsia="Times New Roman" w:hAnsi="Times New Roman" w:cs="Times New Roman"/>
            <w:vanish/>
            <w:color w:val="0088CC"/>
            <w:sz w:val="21"/>
            <w:szCs w:val="21"/>
            <w:lang w:eastAsia="pt-BR"/>
          </w:rPr>
          <w:t>Últimas Notícias</w:t>
        </w:r>
      </w:hyperlink>
    </w:p>
    <w:p w:rsidR="005E2C06" w:rsidRPr="005E2C06" w:rsidRDefault="005E2C06" w:rsidP="005E2C06">
      <w:pPr>
        <w:pBdr>
          <w:top w:val="single" w:sz="6" w:space="1" w:color="auto"/>
        </w:pBdr>
        <w:spacing w:after="0" w:line="240" w:lineRule="auto"/>
        <w:jc w:val="center"/>
        <w:rPr>
          <w:rFonts w:ascii="Arial" w:eastAsia="Times New Roman" w:hAnsi="Arial" w:cs="Arial"/>
          <w:vanish/>
          <w:sz w:val="16"/>
          <w:szCs w:val="16"/>
          <w:lang w:eastAsia="pt-BR"/>
        </w:rPr>
      </w:pPr>
      <w:r w:rsidRPr="005E2C06">
        <w:rPr>
          <w:rFonts w:ascii="Arial" w:eastAsia="Times New Roman" w:hAnsi="Arial" w:cs="Arial"/>
          <w:vanish/>
          <w:sz w:val="16"/>
          <w:szCs w:val="16"/>
          <w:lang w:eastAsia="pt-BR"/>
        </w:rPr>
        <w:t>Parte inferior do formulário</w:t>
      </w:r>
    </w:p>
    <w:p w:rsidR="005E2C06" w:rsidRPr="005E2C06" w:rsidRDefault="005E2C06" w:rsidP="005E2C06">
      <w:pPr>
        <w:spacing w:after="0" w:line="600" w:lineRule="atLeast"/>
        <w:outlineLvl w:val="0"/>
        <w:rPr>
          <w:rFonts w:ascii="Bookman Old Style" w:eastAsia="Times New Roman" w:hAnsi="Bookman Old Style" w:cs="Arial"/>
          <w:bCs/>
          <w:kern w:val="36"/>
          <w:sz w:val="24"/>
          <w:szCs w:val="24"/>
          <w:lang w:eastAsia="pt-BR"/>
        </w:rPr>
      </w:pPr>
      <w:hyperlink r:id="rId24" w:history="1">
        <w:r w:rsidRPr="005E2C06">
          <w:rPr>
            <w:rFonts w:ascii="Bookman Old Style" w:eastAsia="Times New Roman" w:hAnsi="Bookman Old Style" w:cs="Arial"/>
            <w:bCs/>
            <w:kern w:val="36"/>
            <w:sz w:val="24"/>
            <w:szCs w:val="24"/>
            <w:lang w:eastAsia="pt-BR"/>
          </w:rPr>
          <w:t>INSTRUÇÃO NORMATIVA Nº 5, DE 26 DE MAIO DE 2017 (Atualizada)</w:t>
        </w:r>
        <w:proofErr w:type="gramStart"/>
      </w:hyperlink>
      <w:proofErr w:type="gramEnd"/>
      <w:r w:rsidRPr="005E2C06">
        <w:rPr>
          <w:rFonts w:ascii="Bookman Old Style" w:eastAsia="Times New Roman" w:hAnsi="Bookman Old Style" w:cs="Arial"/>
          <w:bCs/>
          <w:kern w:val="36"/>
          <w:sz w:val="24"/>
          <w:szCs w:val="24"/>
          <w:lang w:eastAsia="pt-BR"/>
        </w:rPr>
        <w:t xml:space="preserve"> </w:t>
      </w:r>
    </w:p>
    <w:p w:rsidR="00067BCF" w:rsidRPr="005E2C06" w:rsidRDefault="00067BCF">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Dispõe sobre as regras e diretrizes do procedimento de contratação de serviços sob o regime de execução indireta no âmbito da Administração Pública federal direta, autárquica e fundacional.</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O SECRETÁRIO DE GESTÃO DO MINISTÉRIO DO PLANEJAMENTO, DESENVOLVIMENTO E GESTÃO, no uso das atribuições que lhe confere o Decreto nº 9.035, de 20 de abril de 2017, e o Decreto nº 1.094, de 23 de março de 1994, considerando o disposto na Lei nº 8.666, de 21 de junho de 1993, na Lei nº 10.520, de 17 de julho de 2002, no Decreto-Lei nº 200, de 25 de fevereiro de 1967, e no Decreto nº 2.271, de </w:t>
      </w:r>
      <w:proofErr w:type="gramStart"/>
      <w:r w:rsidRPr="005E2C06">
        <w:rPr>
          <w:rFonts w:ascii="Bookman Old Style" w:hAnsi="Bookman Old Style"/>
          <w:sz w:val="24"/>
          <w:szCs w:val="24"/>
        </w:rPr>
        <w:t>7</w:t>
      </w:r>
      <w:proofErr w:type="gramEnd"/>
      <w:r w:rsidRPr="005E2C06">
        <w:rPr>
          <w:rFonts w:ascii="Bookman Old Style" w:hAnsi="Bookman Old Style"/>
          <w:sz w:val="24"/>
          <w:szCs w:val="24"/>
        </w:rPr>
        <w:t xml:space="preserve"> de julho de 1997, resolve: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CAPÍTULO 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DISPOSIÇÕES GERAIS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1º As contratações de serviços para a realização de tarefas executivas sob o regime de execução indireta, por órgãos ou entidades da Administração Pública federal direta, autárquica e fundacional, observarão, no que couber: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as fases de Planejamento da Contratação, Seleção do Fornecedor e Gestão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 - os critérios e práticas de sustentabilidade;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o alinhamento com o Planejamento Estratégico do órgão ou entidade, quando houver.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w:t>
      </w:r>
      <w:r>
        <w:rPr>
          <w:rFonts w:ascii="Bookman Old Style" w:hAnsi="Bookman Old Style"/>
          <w:sz w:val="24"/>
          <w:szCs w:val="24"/>
        </w:rPr>
        <w:t xml:space="preserve"> - </w:t>
      </w:r>
      <w:r w:rsidRPr="005E2C06">
        <w:rPr>
          <w:rFonts w:ascii="Bookman Old Style" w:hAnsi="Bookman Old Style"/>
          <w:sz w:val="24"/>
          <w:szCs w:val="24"/>
        </w:rPr>
        <w:t>Das Definições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2º Para os efeitos desta Instrução Normativa são adotadas as definições constantes do Anexo 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II</w:t>
      </w:r>
      <w:r>
        <w:rPr>
          <w:rFonts w:ascii="Bookman Old Style" w:hAnsi="Bookman Old Style"/>
          <w:sz w:val="24"/>
          <w:szCs w:val="24"/>
        </w:rPr>
        <w:t xml:space="preserve"> - </w:t>
      </w:r>
      <w:r w:rsidRPr="005E2C06">
        <w:rPr>
          <w:rFonts w:ascii="Bookman Old Style" w:hAnsi="Bookman Old Style"/>
          <w:sz w:val="24"/>
          <w:szCs w:val="24"/>
        </w:rPr>
        <w:t>Das Características da Terceirização de Serviços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3º O objeto da licitação será definido como prestação de serviços, sendo vedada a caracterização exclusiva do objeto como fornecimento de mão de obra.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4º A prestação de serviços de que trata esta Instrução Normativa não gera vínculo empregatício entre os empregados da contratada e a Administração, vedando-se qualquer relação entre estes que caracterize pessoalidade e subordinação direta.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5º É vedado à Administração ou aos seus servidores praticar atos de ingerência na administração da contratada, a exemplo de: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possibilitar ou dar causa a atos de subordinação, vinculação hierárquica, prestação de contas, aplicação de sanção e supervisão direta sobre os empregados da contratada;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exercer o poder de mando sobre os empregados da contratada, devendo reportar-se somente aos prepostos ou responsáveis por ela indicados, exceto quando o objeto da contratação previr a notificação direta para a execução das tarefas previamente descritas no contrato de prestação de serviços para a função específica, tais como nos serviços de recepção, apoio administrativo ou ao usuário;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direcionar a contratação de pessoas para trabalhar nas empresas contratadas;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IV - promover ou aceitar o desvio de funções dos trabalhadores da contratada, mediante a utilização destes em atividades distintas daquelas previstas no objeto da contratação e em relação à função específica para a qual o trabalhador foi contratado;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 - considerar os trabalhadores da contratada como colaboradores eventuais do próprio órgão ou entidade responsável pela contratação, especialmente para efeito de concessão de diárias e passagens;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VI - definir o valor da remuneração dos trabalhadores da empresa contratada para prestar os serviços, salvo nos casos específicos em que se </w:t>
      </w:r>
      <w:proofErr w:type="gramStart"/>
      <w:r w:rsidRPr="005E2C06">
        <w:rPr>
          <w:rFonts w:ascii="Bookman Old Style" w:hAnsi="Bookman Old Style"/>
          <w:sz w:val="24"/>
          <w:szCs w:val="24"/>
        </w:rPr>
        <w:t>necessitam</w:t>
      </w:r>
      <w:proofErr w:type="gramEnd"/>
      <w:r w:rsidRPr="005E2C06">
        <w:rPr>
          <w:rFonts w:ascii="Bookman Old Style" w:hAnsi="Bookman Old Style"/>
          <w:sz w:val="24"/>
          <w:szCs w:val="24"/>
        </w:rPr>
        <w:t xml:space="preserve"> de profissionais com habilitação/experiência superior a daqueles que, no mercado, são remunerados pelo piso salarial da categoria, desde que justificadamente; 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VII - conceder aos trabalhadores da contratada direitos típicos de servidores públicos, tais como recesso, ponto facultativo, dentre outros.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6º A Administração não se vincula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É vedado ao órgão e entidade vincular-se às disposições previstas nos Acordos, Convenções ou Dissídios Coletivos de Trabalho que tratem de obrigações e direitos que somente se aplicam aos contratos com a Administração Pública.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III</w:t>
      </w:r>
      <w:r>
        <w:rPr>
          <w:rFonts w:ascii="Bookman Old Style" w:hAnsi="Bookman Old Style"/>
          <w:sz w:val="24"/>
          <w:szCs w:val="24"/>
        </w:rPr>
        <w:t xml:space="preserve"> - </w:t>
      </w:r>
      <w:r w:rsidRPr="005E2C06">
        <w:rPr>
          <w:rFonts w:ascii="Bookman Old Style" w:hAnsi="Bookman Old Style"/>
          <w:sz w:val="24"/>
          <w:szCs w:val="24"/>
        </w:rPr>
        <w:t>Dos Serviços Passíveis de Execução Indireta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7º Nos termos da legislação</w:t>
      </w:r>
      <w:proofErr w:type="gramStart"/>
      <w:r w:rsidRPr="005E2C06">
        <w:rPr>
          <w:rFonts w:ascii="Bookman Old Style" w:hAnsi="Bookman Old Style"/>
          <w:sz w:val="24"/>
          <w:szCs w:val="24"/>
        </w:rPr>
        <w:t>, serão</w:t>
      </w:r>
      <w:proofErr w:type="gramEnd"/>
      <w:r w:rsidRPr="005E2C06">
        <w:rPr>
          <w:rFonts w:ascii="Bookman Old Style" w:hAnsi="Bookman Old Style"/>
          <w:sz w:val="24"/>
          <w:szCs w:val="24"/>
        </w:rPr>
        <w:t xml:space="preserve"> objeto de execução indireta as atividades previstas em Decreto que regulamenta a matéria.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1º A Administração poderá contratar, mediante terceirização, as atividades dos cargos extintos ou em extinção, tais como os elencados na Lei nº 9.632, de </w:t>
      </w:r>
      <w:proofErr w:type="gramStart"/>
      <w:r w:rsidRPr="005E2C06">
        <w:rPr>
          <w:rFonts w:ascii="Bookman Old Style" w:hAnsi="Bookman Old Style"/>
          <w:sz w:val="24"/>
          <w:szCs w:val="24"/>
        </w:rPr>
        <w:t>7</w:t>
      </w:r>
      <w:proofErr w:type="gramEnd"/>
      <w:r w:rsidRPr="005E2C06">
        <w:rPr>
          <w:rFonts w:ascii="Bookman Old Style" w:hAnsi="Bookman Old Style"/>
          <w:sz w:val="24"/>
          <w:szCs w:val="24"/>
        </w:rPr>
        <w:t xml:space="preserve"> de maio de 1998.</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As funções elencadas nas contratações de prestação de serviços deverão observar a nomenclatura estabelecida na Classificação Brasileira de Ocupações (CBO), do Ministério do Trabalho, ou outra que vier a substituí-la.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8º Poderá ser admitida a contratação de serviço de apoio administrativo, considerando o disposto no inciso IV do art. 9º desta Instrução Normativa, com a descrição no contrato de prestação de serviços para cada função específica das tarefas principais e essenciais a serem executadas, admitindo-se pela Administração, em relação à pessoa encarregada da função, a notificação direta para a execução das tarefas.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IV</w:t>
      </w:r>
      <w:r>
        <w:rPr>
          <w:rFonts w:ascii="Bookman Old Style" w:hAnsi="Bookman Old Style"/>
          <w:sz w:val="24"/>
          <w:szCs w:val="24"/>
        </w:rPr>
        <w:t xml:space="preserve"> - </w:t>
      </w:r>
      <w:r w:rsidRPr="005E2C06">
        <w:rPr>
          <w:rFonts w:ascii="Bookman Old Style" w:hAnsi="Bookman Old Style"/>
          <w:sz w:val="24"/>
          <w:szCs w:val="24"/>
        </w:rPr>
        <w:t>Da Vedação à Contratação de Serviços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9º Não serão objeto de execução indireta na Administração Pública federal direta, autárquica e fundacional:</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atividades que envolvam a tomada de decisão ou posicionamento institucional nas áreas de planejamento, coordenação, supervisão e controle;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as atividades consideradas estratégicas para o órgão ou entidade, cuja terceirização possa colocar em risco o controle de processos e de conhecimentos e tecnologias;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III - as funções relacionadas ao poder de polícia, de regulação, de outorga de serviços públicos e de aplicação de sanção;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IV - as atividades inerentes às categorias funcionais abrangidas pelo plano de cargos do órgão ou entidade, salvo expressa disposição legal em contrário ou quando se tratar de cargo extinto, total ou parcialmente, no âmbito do quadro geral de pessoal.</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As atividades auxiliares, instrumentais ou acessórias às funções e atividades definidas nos incisos do caput podem ser executadas de forma indireta, sendo vedada a transferência de responsabilidade para realização de atos administrativos ou a tomada de decisão para o contratado.</w:t>
      </w:r>
    </w:p>
    <w:p w:rsid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V</w:t>
      </w:r>
      <w:r>
        <w:rPr>
          <w:rFonts w:ascii="Bookman Old Style" w:hAnsi="Bookman Old Style"/>
          <w:sz w:val="24"/>
          <w:szCs w:val="24"/>
        </w:rPr>
        <w:t xml:space="preserve"> - </w:t>
      </w:r>
      <w:r w:rsidRPr="005E2C06">
        <w:rPr>
          <w:rFonts w:ascii="Bookman Old Style" w:hAnsi="Bookman Old Style"/>
          <w:sz w:val="24"/>
          <w:szCs w:val="24"/>
        </w:rPr>
        <w:t>Dos Serviços Prestados por Cooperativas e Instituições Sem Fins Lucrativos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10. A contratação de sociedades cooperativas somente poderá ocorrer quando, pela sua natureza, o serviço a ser contratado evidenciar: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 - a possibilidade de ser executado com autonomia pelos cooperados, de modo a não demandar relação de subordinação entre a cooperativa e os cooperados, nem entre a Administração e os cooperados;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que a gestão operacional do serviço seja executada de forma compartilhada ou em rodízio, em que as atividades de coordenação e supervisão da execução dos serviços e as de preposto, conforme determina o art. 68 da Lei nº 8.666, de 1993, sejam realizadas pelos cooperados de forma alternada ou aleatória, para que tantos quanto possíveis venham a assumir tal atribuição.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Quando admitida a participação de cooperativas, estas deverão apresentar um modelo de gestão operacional que contemple as diretrizes estabelecidas neste artigo, o qual servirá como condição de aceitabilidade da proposta.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O serviço contratado deverá ser executado obrigatoriamente pelos cooperados, vedada qualquer intermediação ou subcontratação.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11. Na contratação de sociedades cooperativas, o órgão ou entidade deverá verificar seus atos constitutivos, analisando sua regularidade formal e as regras internas de funcionamento, para evitar eventual desvirtuação ou fraude.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12. Quando da contratação de instituição sem fins lucrativos, o serviço contratado deverá ser executado obrigatoriamente pelos profissionais pertencentes aos quadros funcionais da instituição.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Considerando-se que as instituições sem fins lucrativos gozam de benefícios fiscais e previdenciários específicos, condição que reduz seus custos operacionais em relação às pessoas jurídicas ou físicas, legal e regularmente tributadas, não será permitida, em observância ao princípio da isonomia, a participação de instituições sem fins lucrativos em processos licitatórios destinados à contratação de empresário, de sociedade empresária ou de consórcio de empresa.</w:t>
      </w:r>
    </w:p>
    <w:p w:rsid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13. Não será admitida a contratação de cooperativa ou de instituição sem fins lucrativos cujo estatuto e objetos sociais não prevejam ou não estejam de acordo com o objeto contratado.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Default="005E2C06" w:rsidP="005E2C06">
      <w:pPr>
        <w:rPr>
          <w:rFonts w:ascii="Bookman Old Style" w:hAnsi="Bookman Old Style"/>
          <w:sz w:val="24"/>
          <w:szCs w:val="24"/>
        </w:rPr>
      </w:pPr>
    </w:p>
    <w:p w:rsid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VI</w:t>
      </w:r>
      <w:r>
        <w:rPr>
          <w:rFonts w:ascii="Bookman Old Style" w:hAnsi="Bookman Old Style"/>
          <w:sz w:val="24"/>
          <w:szCs w:val="24"/>
        </w:rPr>
        <w:t xml:space="preserve"> -</w:t>
      </w:r>
      <w:proofErr w:type="gramStart"/>
      <w:r>
        <w:rPr>
          <w:rFonts w:ascii="Bookman Old Style" w:hAnsi="Bookman Old Style"/>
          <w:sz w:val="24"/>
          <w:szCs w:val="24"/>
        </w:rPr>
        <w:t xml:space="preserve">  </w:t>
      </w:r>
      <w:proofErr w:type="gramEnd"/>
      <w:r w:rsidRPr="005E2C06">
        <w:rPr>
          <w:rFonts w:ascii="Bookman Old Style" w:hAnsi="Bookman Old Style"/>
          <w:sz w:val="24"/>
          <w:szCs w:val="24"/>
        </w:rPr>
        <w:t>Das Características dos Serviços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Subseção I</w:t>
      </w:r>
      <w:r>
        <w:rPr>
          <w:rFonts w:ascii="Bookman Old Style" w:hAnsi="Bookman Old Style"/>
          <w:sz w:val="24"/>
          <w:szCs w:val="24"/>
        </w:rPr>
        <w:t xml:space="preserve"> - </w:t>
      </w:r>
      <w:r w:rsidRPr="005E2C06">
        <w:rPr>
          <w:rFonts w:ascii="Bookman Old Style" w:hAnsi="Bookman Old Style"/>
          <w:sz w:val="24"/>
          <w:szCs w:val="24"/>
        </w:rPr>
        <w:t>Dos Serviços Comuns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14. Os serviços considerados comuns são aqueles cujos padrões de desempenho e </w:t>
      </w:r>
      <w:proofErr w:type="gramStart"/>
      <w:r w:rsidRPr="005E2C06">
        <w:rPr>
          <w:rFonts w:ascii="Bookman Old Style" w:hAnsi="Bookman Old Style"/>
          <w:sz w:val="24"/>
          <w:szCs w:val="24"/>
        </w:rPr>
        <w:t>qualidade possam ser</w:t>
      </w:r>
      <w:proofErr w:type="gramEnd"/>
      <w:r w:rsidRPr="005E2C06">
        <w:rPr>
          <w:rFonts w:ascii="Bookman Old Style" w:hAnsi="Bookman Old Style"/>
          <w:sz w:val="24"/>
          <w:szCs w:val="24"/>
        </w:rPr>
        <w:t xml:space="preserve"> objetivamente definidos pelo ato convocatório, por meio de especificações usuais do mercado.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Independentemente de sua complexidade, os serviços podem ser enquadrados na condição de serviços comuns, desde que atendam aos requisitos dispostos no caput deste artigo.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Subseção II</w:t>
      </w:r>
      <w:r>
        <w:rPr>
          <w:rFonts w:ascii="Bookman Old Style" w:hAnsi="Bookman Old Style"/>
          <w:sz w:val="24"/>
          <w:szCs w:val="24"/>
        </w:rPr>
        <w:t xml:space="preserve"> - </w:t>
      </w:r>
      <w:r w:rsidRPr="005E2C06">
        <w:rPr>
          <w:rFonts w:ascii="Bookman Old Style" w:hAnsi="Bookman Old Style"/>
          <w:sz w:val="24"/>
          <w:szCs w:val="24"/>
        </w:rPr>
        <w:t>Dos Serviços Prestados de Forma Contínua e Não Contínua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15. Os serviços prestados de forma contínua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A contratação de serviços prestados de forma contínua deverá observar os prazos previstos no art. 57 da Lei nº 8.666, de 1993.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16. Os serviços considerados não continuados ou contratados por escopo são aqueles que impõem aos contratados o dever de realizar a prestação de um serviço específico em um período predeterminado, podendo ser prorrogado, desde que justificadamente, pelo prazo </w:t>
      </w:r>
      <w:proofErr w:type="gramStart"/>
      <w:r w:rsidRPr="005E2C06">
        <w:rPr>
          <w:rFonts w:ascii="Bookman Old Style" w:hAnsi="Bookman Old Style"/>
          <w:sz w:val="24"/>
          <w:szCs w:val="24"/>
        </w:rPr>
        <w:t>necessário à conclusão do objeto, observadas</w:t>
      </w:r>
      <w:proofErr w:type="gramEnd"/>
      <w:r w:rsidRPr="005E2C06">
        <w:rPr>
          <w:rFonts w:ascii="Bookman Old Style" w:hAnsi="Bookman Old Style"/>
          <w:sz w:val="24"/>
          <w:szCs w:val="24"/>
        </w:rPr>
        <w:t xml:space="preserve"> as hipóteses previstas no § 1º do art. 57 da Lei nº 8.666, de 1993.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Default="005E2C06" w:rsidP="005E2C06">
      <w:pPr>
        <w:rPr>
          <w:rFonts w:ascii="Bookman Old Style" w:hAnsi="Bookman Old Style"/>
          <w:sz w:val="24"/>
          <w:szCs w:val="24"/>
        </w:rPr>
      </w:pPr>
    </w:p>
    <w:p w:rsid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Subseção III</w:t>
      </w:r>
      <w:r>
        <w:rPr>
          <w:rFonts w:ascii="Bookman Old Style" w:hAnsi="Bookman Old Style"/>
          <w:sz w:val="24"/>
          <w:szCs w:val="24"/>
        </w:rPr>
        <w:t xml:space="preserve"> - </w:t>
      </w:r>
      <w:r w:rsidRPr="005E2C06">
        <w:rPr>
          <w:rFonts w:ascii="Bookman Old Style" w:hAnsi="Bookman Old Style"/>
          <w:sz w:val="24"/>
          <w:szCs w:val="24"/>
        </w:rPr>
        <w:t>Dos Serviços com Regime de Dedicação Exclusiva de Mão de Obra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17. Os serviços com regime de dedicação exclusiva de mão de obra são aqueles em que o modelo de execução contratual exija, dentre outros requisitos, que: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os empregados da contratada fiquem à disposição nas dependências da contratante para a prestação dos serviços;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 - a contratada não compartilhe os recursos humanos e materiais disponíveis de uma contratação para execução simultânea de outros contratos;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a contratada possibilite a fiscalização pela contratante quanto à distribuição, controle e supervisão dos recursos humanos alocados aos seus contratos.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Parágrafo único. Os serviços de que trata o caput poderão ser prestados fora das dependências do órgão ou entidade, desde que não </w:t>
      </w:r>
      <w:proofErr w:type="gramStart"/>
      <w:r w:rsidRPr="005E2C06">
        <w:rPr>
          <w:rFonts w:ascii="Bookman Old Style" w:hAnsi="Bookman Old Style"/>
          <w:sz w:val="24"/>
          <w:szCs w:val="24"/>
        </w:rPr>
        <w:t>seja</w:t>
      </w:r>
      <w:proofErr w:type="gramEnd"/>
      <w:r w:rsidRPr="005E2C06">
        <w:rPr>
          <w:rFonts w:ascii="Bookman Old Style" w:hAnsi="Bookman Old Style"/>
          <w:sz w:val="24"/>
          <w:szCs w:val="24"/>
        </w:rPr>
        <w:t xml:space="preserve"> nas dependências da contratada e presentes os requisitos dos incisos II e III.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18. Para as contratações de que trata o art. 17, o procedimento sobre Gerenciamento de Riscos, conforme especificado nos </w:t>
      </w:r>
      <w:proofErr w:type="spellStart"/>
      <w:r w:rsidRPr="005E2C06">
        <w:rPr>
          <w:rFonts w:ascii="Bookman Old Style" w:hAnsi="Bookman Old Style"/>
          <w:sz w:val="24"/>
          <w:szCs w:val="24"/>
        </w:rPr>
        <w:t>arts</w:t>
      </w:r>
      <w:proofErr w:type="spellEnd"/>
      <w:r w:rsidRPr="005E2C06">
        <w:rPr>
          <w:rFonts w:ascii="Bookman Old Style" w:hAnsi="Bookman Old Style"/>
          <w:sz w:val="24"/>
          <w:szCs w:val="24"/>
        </w:rPr>
        <w:t>. 25 e 26, obrigatoriamente contemplará o risco de descumprimento das obrigações trabalhistas, previdenciárias e com FGTS da contratada.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Para o tratamento dos riscos previstos no caput, poderão ser adotados os seguintes controles internos: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 - Conta-Depósito Vinculada ― bloqueada para movimentação, conforme disposto em Caderno de Logística, elaborado pela Secretaria de Gestão do Ministério do Planejamento, Desenvolvimento e Gestão; </w:t>
      </w:r>
      <w:proofErr w:type="gramStart"/>
      <w:r w:rsidRPr="005E2C06">
        <w:rPr>
          <w:rFonts w:ascii="Bookman Old Style" w:hAnsi="Bookman Old Style"/>
          <w:sz w:val="24"/>
          <w:szCs w:val="24"/>
        </w:rPr>
        <w:t>ou</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Pagamento pelo Fato Gerador, conforme disposto em Caderno de Logística, elaborado pela Secretaria de Gestão do Ministério do Planejamento, Desenvolvimento e Gestão.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§2º A adoção de um dos critérios previstos nos incisos I e II do parágrafo anterior deverá ser justificada com base na avaliação da relação custo-benefício.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Só será admitida a adoção do Pagamento pelo Fato Gerador após a publicação do Caderno de Logística a que faz referência o inciso II do § 1º deste artigo.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4º Os procedimentos de que tratam os incisos do § 1º deste artigo estão disciplinados no item </w:t>
      </w:r>
      <w:proofErr w:type="gramStart"/>
      <w:r w:rsidRPr="005E2C06">
        <w:rPr>
          <w:rFonts w:ascii="Bookman Old Style" w:hAnsi="Bookman Old Style"/>
          <w:sz w:val="24"/>
          <w:szCs w:val="24"/>
        </w:rPr>
        <w:t>1</w:t>
      </w:r>
      <w:proofErr w:type="gramEnd"/>
      <w:r w:rsidRPr="005E2C06">
        <w:rPr>
          <w:rFonts w:ascii="Bookman Old Style" w:hAnsi="Bookman Old Style"/>
          <w:sz w:val="24"/>
          <w:szCs w:val="24"/>
        </w:rPr>
        <w:t xml:space="preserve"> do Anexo VII-B.</w:t>
      </w:r>
    </w:p>
    <w:p w:rsidR="005E2C06" w:rsidRP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CAPÍTULO II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DO PROCEDIMENTO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19. As contratações de serviços de que tratam esta Instrução Normativa serão realizadas observando-se as seguintes fases: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Planejamento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 - Seleção do Fornecedor;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Gestão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O nível de detalhamento de informações necessárias para instruir cada fase da contratação deverá considerar a análise de risco do objeto contratado.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CAPÍTULO III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DO PLANEJAMENTO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20. O Planejamento da Contratação, para cada serviço a ser contratado, consistirá nas seguintes etapas: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Estudos Preliminares;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 - Gerenciamento de Riscos;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Termo de Referência ou Projeto Básico.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As situações que ensejam a dispensa ou inexigibilidade da licitação exigem o cumprimento das etapas do Planejamento da Contratação, no que couber.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Salvo o Gerenciamento de Riscos relacionado à fase de Gestão do Contrato, as etapas I e II do caput ficam dispensadas quando se tratar de: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 contratações de serviços cujos valores se enquadram nos limites dos incisos I e II do art. 24 da Lei nº 8.666, de 1993; </w:t>
      </w:r>
      <w:proofErr w:type="gramStart"/>
      <w:r w:rsidRPr="005E2C06">
        <w:rPr>
          <w:rFonts w:ascii="Bookman Old Style" w:hAnsi="Bookman Old Style"/>
          <w:sz w:val="24"/>
          <w:szCs w:val="24"/>
        </w:rPr>
        <w:t>ou</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b) contratações previstas nos incisos IV e XI do art. 24 da Lei nº 8.666, de 1993.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As contratações de serviços prestados de forma contínua, passíveis de prorrogações sucessivas, de que trata o art. 57 da Lei nº 8.666, de 1993, caso sejam objeto de renovação da vigência, ficam dispensadas das etapas I, II e III do caput, salvo o Gerenciamento de Riscos da fase de Gestão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4º Os órgãos e entidades poderão simplificar, no que couber, a etapa de Estudos Preliminares, quando adotados os modelos de contratação estabelecidos nos Cadernos de Logística divulgados pela Secretaria de Gestão do Ministério do Planejamento, Desenvolvimento e Gestão.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5º Podem ser elaborados Estudos Preliminares e Gerenciamento de Riscos comuns para serviços de mesma natureza, semelhança ou afinidade.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w:t>
      </w:r>
      <w:r>
        <w:rPr>
          <w:rFonts w:ascii="Bookman Old Style" w:hAnsi="Bookman Old Style"/>
          <w:sz w:val="24"/>
          <w:szCs w:val="24"/>
        </w:rPr>
        <w:t xml:space="preserve"> - </w:t>
      </w:r>
      <w:r w:rsidRPr="005E2C06">
        <w:rPr>
          <w:rFonts w:ascii="Bookman Old Style" w:hAnsi="Bookman Old Style"/>
          <w:sz w:val="24"/>
          <w:szCs w:val="24"/>
        </w:rPr>
        <w:t>Dos Procedimentos Iniciais para Elaboração do Planejamento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21. Os procedimentos iniciais do Planejamento da Contratação consistem nas seguintes atividades: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elaboração do documento para formalização da demanda pelo setor requisitante do serviço, conforme modelo do Anexo II, que contemple: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 a justificativa da necessidade da contratação explicitando a opção pela terceirização dos serviços e considerando o Planejamento Estratégico, se for o caso;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b) a quantidade de serviço a ser contratada;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c) a previsão de data em que deve ser iniciada a prestação dos serviços;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d) a indicação do servidor ou servidores para compor a equipe que irá elaborar os Estudos Preliminares e o Gerenciamento de Risco e, se necessário, daquele a quem será confiada </w:t>
      </w:r>
      <w:proofErr w:type="gramStart"/>
      <w:r w:rsidRPr="005E2C06">
        <w:rPr>
          <w:rFonts w:ascii="Bookman Old Style" w:hAnsi="Bookman Old Style"/>
          <w:sz w:val="24"/>
          <w:szCs w:val="24"/>
        </w:rPr>
        <w:t>a</w:t>
      </w:r>
      <w:proofErr w:type="gramEnd"/>
      <w:r w:rsidRPr="005E2C06">
        <w:rPr>
          <w:rFonts w:ascii="Bookman Old Style" w:hAnsi="Bookman Old Style"/>
          <w:sz w:val="24"/>
          <w:szCs w:val="24"/>
        </w:rPr>
        <w:t xml:space="preserve"> fiscalização dos serviços, o qual poderá participar de todas as etapas do planejamento da contratação, observado o disposto no § 1º do art. 22;</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 - envio do documento de que trata o inciso I deste artigo ao setor de licitações do órgão ou entidade;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designação formal da equipe de Planejamento da Contratação pela autoridade competente do setor de licitações.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22. Ao receber o documento de que trata o inciso I do art. 21, a autoridade competente do setor de licitações </w:t>
      </w:r>
      <w:proofErr w:type="gramStart"/>
      <w:r w:rsidRPr="005E2C06">
        <w:rPr>
          <w:rFonts w:ascii="Bookman Old Style" w:hAnsi="Bookman Old Style"/>
          <w:sz w:val="24"/>
          <w:szCs w:val="24"/>
        </w:rPr>
        <w:t>poderá,</w:t>
      </w:r>
      <w:proofErr w:type="gramEnd"/>
      <w:r w:rsidRPr="005E2C06">
        <w:rPr>
          <w:rFonts w:ascii="Bookman Old Style" w:hAnsi="Bookman Old Style"/>
          <w:sz w:val="24"/>
          <w:szCs w:val="24"/>
        </w:rPr>
        <w:t xml:space="preserve"> se necessário, indicar servidor ou servidores que atuam no setor para compor a equipe de Planejamento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A equipe de Planejamento da Contratação é o conjunto de servidores, que reúnem as competências necessárias à completa execução das etapas de Planejamento da Contratação, o que inclui conhecimentos sobre aspectos técnicos e de uso do objeto, licitações e contratos, dentre outros.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Os integrantes da equipe de Planejamento da Contratação devem ter ciência expressa da indicação das suas respectivas atribuições antes de serem formalmente designados.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23. O órgão ou entidade poderá definir de forma diversa a formação de equipe responsável pelo Planejamento das Contratações quando contemplarem área técnica específica em sua estrutura, observadas as disposições desta Seção no que couber.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II</w:t>
      </w:r>
      <w:r>
        <w:rPr>
          <w:rFonts w:ascii="Bookman Old Style" w:hAnsi="Bookman Old Style"/>
          <w:sz w:val="24"/>
          <w:szCs w:val="24"/>
        </w:rPr>
        <w:t xml:space="preserve"> - </w:t>
      </w:r>
      <w:r w:rsidRPr="005E2C06">
        <w:rPr>
          <w:rFonts w:ascii="Bookman Old Style" w:hAnsi="Bookman Old Style"/>
          <w:sz w:val="24"/>
          <w:szCs w:val="24"/>
        </w:rPr>
        <w:t>Dos Estudos Preliminares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24. Com base no documento que formaliza a demanda, a equipe de Planejamento da Contratação deve realizar os Estudos Preliminares, conforme as diretrizes constantes do Anexo III.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O documento que materializa os Estudos Preliminares deve conter, quando couber, o seguinte conteúdo: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necessidade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referência a outros instrumentos de planejamento do órgão ou entidade</w:t>
      </w:r>
      <w:proofErr w:type="gramStart"/>
      <w:r w:rsidRPr="005E2C06">
        <w:rPr>
          <w:rFonts w:ascii="Bookman Old Style" w:hAnsi="Bookman Old Style"/>
          <w:sz w:val="24"/>
          <w:szCs w:val="24"/>
        </w:rPr>
        <w:t>, se houver</w:t>
      </w:r>
      <w:proofErr w:type="gramEnd"/>
      <w:r w:rsidRPr="005E2C06">
        <w:rPr>
          <w:rFonts w:ascii="Bookman Old Style" w:hAnsi="Bookman Old Style"/>
          <w:sz w:val="24"/>
          <w:szCs w:val="24"/>
        </w:rPr>
        <w:t>;</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requisitos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IV - estimativa das quantidades, acompanhadas das memórias de cálculo e dos documentos que lhe dão suporte;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 - levantamento de mercado e justificativa da escolha do tipo de solução a contratar;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VI - estimativas de preços ou preços referenciais;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VII - descrição da solução como um todo;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VIII - justificativas para o parcelamento ou não da solução quando necessária para individualização do objeto;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IX - demonstrativo dos resultados pretendidos em termos de economicidade e de melhor aproveitamento dos recursos humanos, materiais ou financeiros disponíveis;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X - providências para adequação do ambiente do órgão;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XI - contratações correlatas e/ou interdependentes;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XII - declaração da viabilidade ou não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Os Estudos Preliminares devem obrigatoriamente conter o disposto nos incisos I, IV, VI, VIII e XII do parágrafo anterior.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O órgão ou entidade deverá apresentar justificativas no próprio documento que materializa os Estudos Preliminares quando não contemplar quaisquer dos incisos de que trata o § 1º deste artigo;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4º Nas contratações que utilizem especificações padronizadas, em atenção ao § 4º do art. 20, a equipe de Planejamento da Contratação produzirá somente os conteúdos dispostos nos incisos do § 1º deste artigo que não forem estabelecidos como padrão.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5º Observado o § 2º deste artigo, nas contratações em que o órgão ou entidade for gerenciador de um Sistema de Registro de Preços (SRP), deve ser produzido um Estudo Preliminar específico para o órgão ou entidade com o conteúdo previsto nos incisos de I a XII, e outro para a formação da Ata contendo as informações dos incisos III, IV, V, VI, VII e VIII.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6º Observado o § 2º deste artigo, nas contratações em que o órgão ou entidade for participante de um Sistema de Registro de Preços (SRP), a equipe de Planejamento da Contratação produzirá as informações dos incisos I, II, IV, IX, X, XI e XII, visto que as informações dos incisos III, V, </w:t>
      </w:r>
      <w:proofErr w:type="gramStart"/>
      <w:r w:rsidRPr="005E2C06">
        <w:rPr>
          <w:rFonts w:ascii="Bookman Old Style" w:hAnsi="Bookman Old Style"/>
          <w:sz w:val="24"/>
          <w:szCs w:val="24"/>
        </w:rPr>
        <w:t>VI</w:t>
      </w:r>
      <w:proofErr w:type="gramEnd"/>
      <w:r w:rsidRPr="005E2C06">
        <w:rPr>
          <w:rFonts w:ascii="Bookman Old Style" w:hAnsi="Bookman Old Style"/>
          <w:sz w:val="24"/>
          <w:szCs w:val="24"/>
        </w:rPr>
        <w:t>, VII e VIII, considerando a totalidade da ata, serão produzidas pelo órgão gerenciador.</w:t>
      </w:r>
    </w:p>
    <w:p w:rsidR="005E2C06" w:rsidRP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III</w:t>
      </w:r>
      <w:r>
        <w:rPr>
          <w:rFonts w:ascii="Bookman Old Style" w:hAnsi="Bookman Old Style"/>
          <w:sz w:val="24"/>
          <w:szCs w:val="24"/>
        </w:rPr>
        <w:t xml:space="preserve"> - </w:t>
      </w:r>
      <w:r w:rsidRPr="005E2C06">
        <w:rPr>
          <w:rFonts w:ascii="Bookman Old Style" w:hAnsi="Bookman Old Style"/>
          <w:sz w:val="24"/>
          <w:szCs w:val="24"/>
        </w:rPr>
        <w:t>Do Gerenciamento de Riscos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25. O Gerenciamento de Riscos é um processo que consiste nas seguintes atividades: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identificação dos principais riscos que possam comprometer a efetividade do Planejamento da Contratação, da Seleção do Fornecedor e da Gestão Contratual ou que impeçam o alcance dos resultados que atendam às necessidades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avaliação dos riscos identificados, consistindo da mensuração da probabilidade de ocorrência e do impacto de cada risco;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tratamento dos riscos considerados inaceitáveis por meio da definição das ações para reduzir a probabilidade de ocorrência dos eventos ou suas consequências;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IV - para os riscos que persistirem inaceitáveis após o tratamento, definição das ações de contingência para o caso de os eventos correspondentes aos riscos se concretizarem;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 - definição dos responsáveis pelas ações de tratamento dos riscos e das ações de contingência.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A responsabilidade pelo Gerenciamento de Riscos compete à equipe de Planejamento da Contratação devendo abranger as fases do procedimento da contratação previstas no art. 19.</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26. O Gerenciamento de Riscos materializa-se no documento Mapa de Riscos.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O Mapa de Riscos deve ser atualizado e juntado aos autos do processo de contratação, pelo menos: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ao final da elaboração dos Estudos Preliminares;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ao final da elaboração do Termo de Referência ou Projeto Básico;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III - após a fase de Seleção do Fornecedor;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IV - após eventos relevantes, durante a gestão do contrato pelos servidores responsáveis pela fiscalização.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Para elaboração do Mapa de Riscos poderá ser observado o modelo constante do Anexo IV.</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27. Concluídas as etapas relativas aos Estudos Preliminares e ao Gerenciamento de Riscos, os setores requisitantes deverão encaminhá-los, juntamente com o documento que formaliza a demanda, à autoridade competente do setor de licitações, que estabelecerá o prazo máximo para o envio do Projeto Básico ou Termo de Referência, conforme alínea “c” do inciso I, do art. 21.</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A Secretaria de Gestão do Ministério do Planejamento, Desenvolvimento e Gestão poderá estabelecer regras e procedimentos para elaboração do Plano Anual de Contratações do órgão ou entidade, que será registrado em sistema informatizado.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IV</w:t>
      </w:r>
      <w:r>
        <w:rPr>
          <w:rFonts w:ascii="Bookman Old Style" w:hAnsi="Bookman Old Style"/>
          <w:sz w:val="24"/>
          <w:szCs w:val="24"/>
        </w:rPr>
        <w:t xml:space="preserve"> - </w:t>
      </w:r>
      <w:r w:rsidRPr="005E2C06">
        <w:rPr>
          <w:rFonts w:ascii="Bookman Old Style" w:hAnsi="Bookman Old Style"/>
          <w:sz w:val="24"/>
          <w:szCs w:val="24"/>
        </w:rPr>
        <w:t>Do Projeto Básico ou Termo de Referência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28. O Projeto Básico ou Termo de Referência deverá ser elaborado a partir dos Estudos Preliminares, do Gerenciamento de Risco e conforme as diretrizes constantes do Anexo V, devendo ser encaminhado ao setor de licitações, de acordo com o prazo previsto no art. 27.</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29. Devem ser utilizados os modelos de minutas padronizados de Termos de Referência e Projetos Básicos da Advocacia-Geral União, observadas as diretrizes dispostas no Anexo V, bem como os Cadernos de Logística expedidos pela Secretaria de Gestão do Ministério do Planejamento, Desenvolvimento e Gestão, no que couber.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Quando o órgão ou entidade não utilizar os modelos de que trata o caput, ou utilizá-los com alterações, deverá apresentar as devidas justificativas, anexando-as aos autos.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Cumpre ao setor requisitante a elaboração do Termo de Referência ou Projeto Básico, a quem caberá avaliar a pertinência de modificar ou não os Estudos Preliminares e o Gerenciamento de Risco, a depender da temporalidade da contratação, observado o disposto no art. 23.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30. O Termo de Referência ou Projeto Básico deve conter, no mínimo, o seguinte conteúdo: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declaração do objeto;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fundamentação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descrição da solução como um todo;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IV - requisitos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 - modelo de execução do objeto;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VI - modelo de gestão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VII - critérios de medição e pagamento;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VIII - forma de seleção do fornecedor;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IX - critérios de seleção do fornecedor;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X - estimativas detalhadas dos preços, com ampla pesquisa de mercado nos termos da Instrução Normativa nº 5, de 27 de junho de 2014;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XI - adequação orçamentária.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Nas contratações que utilizem especificações padronizadas, em atenção ao § 4º do art. 20, o responsável pela elaboração do Termo de Referência ou Projeto Básico produzirá somente os itens que não forem estabelecidos como padrão.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Os documentos que compõem a fase de Planejamento da Contratação serão parte integrante do processo administrativo da licitação.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31. O órgão ou entidade não poderá contratar o mesmo prestador para realizar serviços de execução, de subsídios ou assistência à fiscalização ou supervisão </w:t>
      </w:r>
      <w:proofErr w:type="gramStart"/>
      <w:r w:rsidRPr="005E2C06">
        <w:rPr>
          <w:rFonts w:ascii="Bookman Old Style" w:hAnsi="Bookman Old Style"/>
          <w:sz w:val="24"/>
          <w:szCs w:val="24"/>
        </w:rPr>
        <w:t>relativos ao mesmo objeto, assegurando a necessária segregação das funções</w:t>
      </w:r>
      <w:proofErr w:type="gramEnd"/>
      <w:r w:rsidRPr="005E2C06">
        <w:rPr>
          <w:rFonts w:ascii="Bookman Old Style" w:hAnsi="Bookman Old Style"/>
          <w:sz w:val="24"/>
          <w:szCs w:val="24"/>
        </w:rPr>
        <w:t>.</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32. Para a contratação dos serviços de vigilância e de limpeza e conservação, além do disciplinado neste capítulo, deverão ser observadas as regras previstas no Anexo VI.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CAPÍTULO IV</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DA SELEÇÃO DO FORNECEDOR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33. A fase de Seleção do Fornecedor inicia-se com o encaminhamento do Termo de Referência ou Projeto Básico ao setor de licitações e encerra-se com a publicação do resultado de julgamento após adjudicação e homologação.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w:t>
      </w:r>
      <w:r>
        <w:rPr>
          <w:rFonts w:ascii="Bookman Old Style" w:hAnsi="Bookman Old Style"/>
          <w:sz w:val="24"/>
          <w:szCs w:val="24"/>
        </w:rPr>
        <w:t xml:space="preserve"> - </w:t>
      </w:r>
      <w:r w:rsidRPr="005E2C06">
        <w:rPr>
          <w:rFonts w:ascii="Bookman Old Style" w:hAnsi="Bookman Old Style"/>
          <w:sz w:val="24"/>
          <w:szCs w:val="24"/>
        </w:rPr>
        <w:t>Do Ato Convocatório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34. Os atos convocatórios da licitação e os atos relativos à dispensa ou inexigibilidade de licitação, bem como os contratos deles decorrentes, observarão o disposto nesta Instrução Normativa, além das disposições contidas na Lei nº 8.666, de 1993, na Lei nº 10.520, de 2002, na Lei Complementar nº 123, de 14 de dezembro de 2006, no Decreto nº 8.538, de </w:t>
      </w:r>
      <w:proofErr w:type="gramStart"/>
      <w:r w:rsidRPr="005E2C06">
        <w:rPr>
          <w:rFonts w:ascii="Bookman Old Style" w:hAnsi="Bookman Old Style"/>
          <w:sz w:val="24"/>
          <w:szCs w:val="24"/>
        </w:rPr>
        <w:t>6</w:t>
      </w:r>
      <w:proofErr w:type="gramEnd"/>
      <w:r w:rsidRPr="005E2C06">
        <w:rPr>
          <w:rFonts w:ascii="Bookman Old Style" w:hAnsi="Bookman Old Style"/>
          <w:sz w:val="24"/>
          <w:szCs w:val="24"/>
        </w:rPr>
        <w:t xml:space="preserve"> de outubro de 2015, e no Decreto nº 2.271, de 1997, e serão adaptados às especificidades de cada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35. Devem ser utilizados os modelos de minutas padronizados de atos convocatórios e contratos da Advocacia-Geral União, observado o disposto no Anexo VII, bem como os Cadernos de Logística expedidos por esta Secretaria de Gestão do Ministério do Planejamento, Desenvolvimento e Gestão, no que couber.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Quando o órgão ou entidade não utilizar os modelos de que trata o caput, ou utilizá-los com alterações, deverá apresentar as devidas justificativas, anexando-as aos autos.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2º No caso da contratação de prestação de serviços por meio do sistema de credenciamento, deverão ser observadas as diretrizes constantes do item </w:t>
      </w:r>
      <w:proofErr w:type="gramStart"/>
      <w:r w:rsidRPr="005E2C06">
        <w:rPr>
          <w:rFonts w:ascii="Bookman Old Style" w:hAnsi="Bookman Old Style"/>
          <w:sz w:val="24"/>
          <w:szCs w:val="24"/>
        </w:rPr>
        <w:t>3</w:t>
      </w:r>
      <w:proofErr w:type="gramEnd"/>
      <w:r w:rsidRPr="005E2C06">
        <w:rPr>
          <w:rFonts w:ascii="Bookman Old Style" w:hAnsi="Bookman Old Style"/>
          <w:sz w:val="24"/>
          <w:szCs w:val="24"/>
        </w:rPr>
        <w:t xml:space="preserve"> do Anexo VII-B.</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II</w:t>
      </w:r>
      <w:r>
        <w:rPr>
          <w:rFonts w:ascii="Bookman Old Style" w:hAnsi="Bookman Old Style"/>
          <w:sz w:val="24"/>
          <w:szCs w:val="24"/>
        </w:rPr>
        <w:t xml:space="preserve"> - </w:t>
      </w:r>
      <w:r w:rsidRPr="005E2C06">
        <w:rPr>
          <w:rFonts w:ascii="Bookman Old Style" w:hAnsi="Bookman Old Style"/>
          <w:sz w:val="24"/>
          <w:szCs w:val="24"/>
        </w:rPr>
        <w:t>Do Parecer Jurídico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36. Antes do envio do processo para exame e aprovação da assessoria jurídica, nos termos do parágrafo único do art. 38 da Lei nº 8.666, de 1993, deve-se realizar uma avaliação da conformidade legal do procedimento administrativo da contratação, preferencialmente com base nas disposições previstas no Anexo I da Orientação Normativa/Seges nº 2, de </w:t>
      </w:r>
      <w:proofErr w:type="gramStart"/>
      <w:r w:rsidRPr="005E2C06">
        <w:rPr>
          <w:rFonts w:ascii="Bookman Old Style" w:hAnsi="Bookman Old Style"/>
          <w:sz w:val="24"/>
          <w:szCs w:val="24"/>
        </w:rPr>
        <w:t>6</w:t>
      </w:r>
      <w:proofErr w:type="gramEnd"/>
      <w:r w:rsidRPr="005E2C06">
        <w:rPr>
          <w:rFonts w:ascii="Bookman Old Style" w:hAnsi="Bookman Old Style"/>
          <w:sz w:val="24"/>
          <w:szCs w:val="24"/>
        </w:rPr>
        <w:t xml:space="preserve"> de junho de 2016, no que couber.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A lista de verificação de que trata o caput deverá ser juntada aos autos do processo, com as devidas adaptações relativas ao momento do seu preenchimento.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2º É dispensado o envio do processo, se houver parecer jurídico referencial exarado pelo órgão de assessoramento competente, que deverá ser </w:t>
      </w:r>
      <w:proofErr w:type="gramStart"/>
      <w:r w:rsidRPr="005E2C06">
        <w:rPr>
          <w:rFonts w:ascii="Bookman Old Style" w:hAnsi="Bookman Old Style"/>
          <w:sz w:val="24"/>
          <w:szCs w:val="24"/>
        </w:rPr>
        <w:t>anexado ao processo, ressalvada</w:t>
      </w:r>
      <w:proofErr w:type="gramEnd"/>
      <w:r w:rsidRPr="005E2C06">
        <w:rPr>
          <w:rFonts w:ascii="Bookman Old Style" w:hAnsi="Bookman Old Style"/>
          <w:sz w:val="24"/>
          <w:szCs w:val="24"/>
        </w:rPr>
        <w:t xml:space="preserve"> a hipótese de consulta acerca de dúvida de ordem jurídica devidamente identificada e motivada.</w:t>
      </w:r>
    </w:p>
    <w:p w:rsidR="005E2C06" w:rsidRP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III</w:t>
      </w:r>
      <w:r>
        <w:rPr>
          <w:rFonts w:ascii="Bookman Old Style" w:hAnsi="Bookman Old Style"/>
          <w:sz w:val="24"/>
          <w:szCs w:val="24"/>
        </w:rPr>
        <w:t xml:space="preserve"> - </w:t>
      </w:r>
      <w:r w:rsidRPr="005E2C06">
        <w:rPr>
          <w:rFonts w:ascii="Bookman Old Style" w:hAnsi="Bookman Old Style"/>
          <w:sz w:val="24"/>
          <w:szCs w:val="24"/>
        </w:rPr>
        <w:t>Da Adjudicação e da Homologação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37. Para fins de Adjudicação e Homologação, o órgão ou entidade deverá observar o disposto na legislação vigente que rege a modalidade adotada, especialmente quanto ao inciso VII do art. 38 e inciso VI do art. 43 da Lei nº 8.666, de 1993; inciso IV do art. 3º e incisos XX, XXI e XXII do art. 4º da Lei nº 10.520, de 2005; e inciso IV do art. 28 da Lei nº 12.462, de </w:t>
      </w:r>
      <w:proofErr w:type="gramStart"/>
      <w:r w:rsidRPr="005E2C06">
        <w:rPr>
          <w:rFonts w:ascii="Bookman Old Style" w:hAnsi="Bookman Old Style"/>
          <w:sz w:val="24"/>
          <w:szCs w:val="24"/>
        </w:rPr>
        <w:t>4</w:t>
      </w:r>
      <w:proofErr w:type="gramEnd"/>
      <w:r w:rsidRPr="005E2C06">
        <w:rPr>
          <w:rFonts w:ascii="Bookman Old Style" w:hAnsi="Bookman Old Style"/>
          <w:sz w:val="24"/>
          <w:szCs w:val="24"/>
        </w:rPr>
        <w:t xml:space="preserve"> de agosto de 2011.</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IV</w:t>
      </w:r>
      <w:r>
        <w:rPr>
          <w:rFonts w:ascii="Bookman Old Style" w:hAnsi="Bookman Old Style"/>
          <w:sz w:val="24"/>
          <w:szCs w:val="24"/>
        </w:rPr>
        <w:t xml:space="preserve"> - </w:t>
      </w:r>
      <w:r w:rsidRPr="005E2C06">
        <w:rPr>
          <w:rFonts w:ascii="Bookman Old Style" w:hAnsi="Bookman Old Style"/>
          <w:sz w:val="24"/>
          <w:szCs w:val="24"/>
        </w:rPr>
        <w:t>Da Formalização e Publicação dos Contratos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38. Para formalização e publicação dos contratos, deverá ser observado o disposto no Anexo VII-G.</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Default="005E2C06" w:rsidP="005E2C06">
      <w:pPr>
        <w:rPr>
          <w:rFonts w:ascii="Bookman Old Style" w:hAnsi="Bookman Old Style"/>
          <w:sz w:val="24"/>
          <w:szCs w:val="24"/>
        </w:rPr>
      </w:pPr>
    </w:p>
    <w:p w:rsid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CAPÍTULO V</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DA GESTÃO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w:t>
      </w:r>
      <w:r>
        <w:rPr>
          <w:rFonts w:ascii="Bookman Old Style" w:hAnsi="Bookman Old Style"/>
          <w:sz w:val="24"/>
          <w:szCs w:val="24"/>
        </w:rPr>
        <w:t xml:space="preserve"> - </w:t>
      </w:r>
      <w:r w:rsidRPr="005E2C06">
        <w:rPr>
          <w:rFonts w:ascii="Bookman Old Style" w:hAnsi="Bookman Old Style"/>
          <w:sz w:val="24"/>
          <w:szCs w:val="24"/>
        </w:rPr>
        <w:t>Das Atividades de Gestão e Fiscalização da Execução dos Contratos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39. As atividades de gestão e fiscalização da execução contratual são o conjunto de ações que tem por objetivo aferir o cumprimento dos resultados previstos pela Administração para os serviços contratados, verificar a regularidade das obrigações previdenciárias, fiscais e trabalhistas, bem como prestar apoio à instrução processual e o encaminhamento da documentação pertinente ao setor de contratos para a formalização dos procedimentos relativos </w:t>
      </w:r>
      <w:proofErr w:type="gramStart"/>
      <w:r w:rsidRPr="005E2C06">
        <w:rPr>
          <w:rFonts w:ascii="Bookman Old Style" w:hAnsi="Bookman Old Style"/>
          <w:sz w:val="24"/>
          <w:szCs w:val="24"/>
        </w:rPr>
        <w:t>a</w:t>
      </w:r>
      <w:proofErr w:type="gramEnd"/>
      <w:r w:rsidRPr="005E2C06">
        <w:rPr>
          <w:rFonts w:ascii="Bookman Old Style" w:hAnsi="Bookman Old Style"/>
          <w:sz w:val="24"/>
          <w:szCs w:val="24"/>
        </w:rPr>
        <w:t xml:space="preserve"> repactuação, alteração, reequilíbrio, prorrogação, pagamento, eventual aplicação de sanções, extinção dos contratos, dentre outras, com vista a assegurar o cumprimento das cláusulas avençadas e a solução de problemas relativos ao objeto.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40. O conjunto de atividades de que trata o artigo anterior compete ao gestor da execução dos contratos, auxiliado pela fiscalização técnica, administrativa, setorial e pelo público usuário, conforme o caso, de acordo com as seguintes disposições: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dos contratos, dentre outros;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de que trata o inciso V deste artigo;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Fiscalização Administrativa: é o acompanhamento dos aspectos administrativos da execução dos serviços nos contratos com regime de dedicação exclusiva de mão de obra quanto às obrigações previdenciárias, fiscais e trabalhistas, bem como quanto às providências tempestivas nos casos de inadimplemento;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No caso do inciso IV deste artigo, o órgão ou entidade deverá designar representantes nesses locais para atuarem como fiscais setoriais.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O recebimento provisório dos serviços ficará a cargo do fiscal técnico, administrativo ou setorial, quando houver, e o recebimento definitivo, a cargo do gestor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II</w:t>
      </w:r>
      <w:r>
        <w:rPr>
          <w:rFonts w:ascii="Bookman Old Style" w:hAnsi="Bookman Old Style"/>
          <w:sz w:val="24"/>
          <w:szCs w:val="24"/>
        </w:rPr>
        <w:t xml:space="preserve"> - </w:t>
      </w:r>
      <w:r w:rsidRPr="005E2C06">
        <w:rPr>
          <w:rFonts w:ascii="Bookman Old Style" w:hAnsi="Bookman Old Style"/>
          <w:sz w:val="24"/>
          <w:szCs w:val="24"/>
        </w:rPr>
        <w:t>Da Indicação e Designação do Gestor e Fiscais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41. </w:t>
      </w:r>
      <w:proofErr w:type="gramStart"/>
      <w:r w:rsidRPr="005E2C06">
        <w:rPr>
          <w:rFonts w:ascii="Bookman Old Style" w:hAnsi="Bookman Old Style"/>
          <w:sz w:val="24"/>
          <w:szCs w:val="24"/>
        </w:rPr>
        <w:t>A indicação do gestor, fiscal e seus substitutos caberá</w:t>
      </w:r>
      <w:proofErr w:type="gramEnd"/>
      <w:r w:rsidRPr="005E2C06">
        <w:rPr>
          <w:rFonts w:ascii="Bookman Old Style" w:hAnsi="Bookman Old Style"/>
          <w:sz w:val="24"/>
          <w:szCs w:val="24"/>
        </w:rPr>
        <w:t xml:space="preserve"> aos setores requisitantes dos serviços ou poderá ser estabelecida em normativo próprio de cada órgão ou entidade, de acordo com o funcionamento de seus processos de trabalho e sua estrutura organizacional.</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Para o exercício da função, o gestor e fiscais deverão ser cientificados, expressamente, da indicação e respectivas atribuições antes da formalização do ato de designação.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Na indicação de servidor devem ser considerados a compatibilidade com as atribuições do cargo, a complexidade da fiscalização, o quantitativo de contratos por servidor e a sua capacidade para o desempenho das atividades.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Nos casos de atraso ou falta de indicação, de desligamento ou afastamento extemporâneo e definitivo do gestor ou fiscais e seus substitutos, até que seja providenciada a indicação, a competência de suas atribuições caberá ao responsável pela indicação ou conforme previsto no normativo de que trata o caput.</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42. Após indicação de que trata o art. 41, a autoridade competente do setor de licitações deverá designar, por ato formal, o gestor, o fiscal e os substitutos.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O fiscal substituto atuará como fiscal do contrato nas ausências e nos impedimentos eventuais e regulamentares do titular.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Será facultada a contratação de terceiros para assistir ou subsidiar as atividades de fiscalização do representante da Administração, desde que justificada a necessidade de assistência especializada.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O gestor ou fiscais e seus substitutos deverão elaborar relatório registrando as ocorrências sobre a prestação dos serviços referentes ao período de sua atuação quando do seu desligamento ou afastamento definitivo.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4º Para o exercício da função, os fiscais deverão receber cópias dos documentos essenciais da contratação pelo setor de contratos, a exemplo dos Estudos Preliminares, do ato convocatório e seus anexos, do contrato, da proposta da contratada, da garantia, quando houver, e demais documentos indispensáveis à fiscalização.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43. O encargo de gestor ou fiscal não pode ser recusado pelo servidor, por não se tratar de ordem ilegal, devendo expor ao superior hierárquico as deficiências e limitações técnicas que possam impedir o diligente cumprimento do exercício de suas atribuições, se for o caso.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Ocorrendo a situação de que trata o caput, observado o § 2º do art. 42, a Administração deverá providenciar a qualificação do servidor para o desempenho das atribuições, conforme a natureza e complexidade do objeto, ou designar outro servidor com a qualificação requerida.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III</w:t>
      </w:r>
      <w:r>
        <w:rPr>
          <w:rFonts w:ascii="Bookman Old Style" w:hAnsi="Bookman Old Style"/>
          <w:sz w:val="24"/>
          <w:szCs w:val="24"/>
        </w:rPr>
        <w:t xml:space="preserve"> - </w:t>
      </w:r>
      <w:r w:rsidRPr="005E2C06">
        <w:rPr>
          <w:rFonts w:ascii="Bookman Old Style" w:hAnsi="Bookman Old Style"/>
          <w:sz w:val="24"/>
          <w:szCs w:val="24"/>
        </w:rPr>
        <w:t>Do Acompanhamento e Fiscalização dos Contratos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Subseção I</w:t>
      </w:r>
      <w:r>
        <w:rPr>
          <w:rFonts w:ascii="Bookman Old Style" w:hAnsi="Bookman Old Style"/>
          <w:sz w:val="24"/>
          <w:szCs w:val="24"/>
        </w:rPr>
        <w:t xml:space="preserve"> - </w:t>
      </w:r>
      <w:r w:rsidRPr="005E2C06">
        <w:rPr>
          <w:rFonts w:ascii="Bookman Old Style" w:hAnsi="Bookman Old Style"/>
          <w:sz w:val="24"/>
          <w:szCs w:val="24"/>
        </w:rPr>
        <w:t>Dos Aspectos Gerais da Fiscalização e do Início da Prestação dos Serviços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44. O preposto da empresa deve ser formalmente designado pela contratada antes do início da prestação dos serviços, em cujo instrumento </w:t>
      </w:r>
      <w:proofErr w:type="gramStart"/>
      <w:r w:rsidRPr="005E2C06">
        <w:rPr>
          <w:rFonts w:ascii="Bookman Old Style" w:hAnsi="Bookman Old Style"/>
          <w:sz w:val="24"/>
          <w:szCs w:val="24"/>
        </w:rPr>
        <w:t>deverá</w:t>
      </w:r>
      <w:proofErr w:type="gramEnd"/>
      <w:r w:rsidRPr="005E2C06">
        <w:rPr>
          <w:rFonts w:ascii="Bookman Old Style" w:hAnsi="Bookman Old Style"/>
          <w:sz w:val="24"/>
          <w:szCs w:val="24"/>
        </w:rPr>
        <w:t xml:space="preserve"> constar expressamente os poderes e deveres em relação à execução do objeto.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A indicação ou a manutenção do preposto da empresa poderá ser recusada pelo órgão ou entidade, desde que devidamente justificada, devendo a empresa designar outro para o exercício da atividade.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As comunicações entre o órgão ou entidade e a contratada devem ser realizadas por escrito sempre que o ato exigir tal formalidade, admitindo-se, excepcionalmente, o uso de mensagem eletrônica para esse fim.</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O órgão ou entidade poderá convocar o preposto para adoção de providências que devam ser cumpridas de imediato.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4º A depender da natureza dos serviços, poderá ser exigida a manutenção do preposto da empresa no local da execução do objeto, bem como pode ser estabelecido sistema de escala semanal ou mensal.</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45. Após a assinatura do contrato, sempre que a natureza da prestação dos serviços exigir, o órgão ou entidade deverá promover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Os assuntos tratados na reunião inicial devem ser registrados em ata e, preferencialmente, estarem presentes o gestor, o fiscal ou equipe responsável pela fiscalização do contrato, o preposto da empresa e, se for o caso, o servidor ou a equipe de Planejamento da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O órgão ou entidade contratante deverá realizar reuniões periódicas com o preposto, de modo a garantir a qualidade da execução e os resultados previstos para a prestação dos serviços.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4º Na análise do pedido de que trata o § 3º deste artigo,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46. As ocorrências acerca da execução contratual deverão ser registradas durante toda a vigência da prestação dos serviços, cabendo ao gestor e fiscais, observadas suas atribuições, a adoção das providências necessárias ao fiel cumprimento das cláusulas contratuais, conforme o disposto nos §§ 1º e 2º do art. 67 da Lei nº 8.666, de 1993.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O registro das ocorrências, as comunicações entre as partes e demais documentos relacionados à execução do objeto poderão ser organizados em processo de fiscalização, instruído com os documentos de que trata o § 4º do art. 42.</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As situações que exigirem decisões e providências que ultrapassem a competência do fiscal deverão ser registradas e encaminhadas ao gestor do contrato que as enviará ao superior em tempo hábil para a adoção de medidas saneadoras.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47. A execução dos contratos deverá ser acompanhada e fiscalizada por meio de instrumentos de controle que compreendam a mensuração dos seguintes aspectos, quando for o caso: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os resultados alcançados em relação ao contratado, com a verificação dos prazos de execução e da qualidade demandada;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 - os recursos humanos empregados em função da quantidade e da formação </w:t>
      </w:r>
      <w:proofErr w:type="gramStart"/>
      <w:r w:rsidRPr="005E2C06">
        <w:rPr>
          <w:rFonts w:ascii="Bookman Old Style" w:hAnsi="Bookman Old Style"/>
          <w:sz w:val="24"/>
          <w:szCs w:val="24"/>
        </w:rPr>
        <w:t>profissional exigidas</w:t>
      </w:r>
      <w:proofErr w:type="gramEnd"/>
      <w:r w:rsidRPr="005E2C06">
        <w:rPr>
          <w:rFonts w:ascii="Bookman Old Style" w:hAnsi="Bookman Old Style"/>
          <w:sz w:val="24"/>
          <w:szCs w:val="24"/>
        </w:rPr>
        <w:t>;</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a qualidade e quantidade dos recursos materiais utilizados;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IV - a adequação dos serviços prestados à rotina de execução estabelecida;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V - o cumprimento das demais obrigações decorrentes do contrato;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VI - a satisfação do público usuário.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Deve ser estabelecido, desde o início da prestação dos serviços, mecanismo de controle da utilização dos materiais empregados nos contratos, para efeito de acompanhamento da execução do objeto bem como para subsidiar a estimativa para as futuras contratações.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2º A conformidade do material a ser utilizado na execução dos serviços deverá ser verificada juntamente com o documento da contratada que contenha a relação detalhada destes, de acordo com o estabelecido no contrato, informando as respectivas quantidades e especificações técnicas, tais como </w:t>
      </w:r>
      <w:proofErr w:type="gramStart"/>
      <w:r w:rsidRPr="005E2C06">
        <w:rPr>
          <w:rFonts w:ascii="Bookman Old Style" w:hAnsi="Bookman Old Style"/>
          <w:sz w:val="24"/>
          <w:szCs w:val="24"/>
        </w:rPr>
        <w:t>marca,</w:t>
      </w:r>
      <w:proofErr w:type="gramEnd"/>
      <w:r w:rsidRPr="005E2C06">
        <w:rPr>
          <w:rFonts w:ascii="Bookman Old Style" w:hAnsi="Bookman Old Style"/>
          <w:sz w:val="24"/>
          <w:szCs w:val="24"/>
        </w:rPr>
        <w:t xml:space="preserve"> qualidade e forma de uso.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Subseção II</w:t>
      </w:r>
      <w:r>
        <w:rPr>
          <w:rFonts w:ascii="Bookman Old Style" w:hAnsi="Bookman Old Style"/>
          <w:sz w:val="24"/>
          <w:szCs w:val="24"/>
        </w:rPr>
        <w:t xml:space="preserve"> - </w:t>
      </w:r>
      <w:r w:rsidRPr="005E2C06">
        <w:rPr>
          <w:rFonts w:ascii="Bookman Old Style" w:hAnsi="Bookman Old Style"/>
          <w:sz w:val="24"/>
          <w:szCs w:val="24"/>
        </w:rPr>
        <w:t>Da Fiscalização Técnica e Administrativa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48. Na fiscalização técnica e administrativa dos contratos deverá ser observado o disposto no Anexo VIII.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Subseção III</w:t>
      </w:r>
      <w:r>
        <w:rPr>
          <w:rFonts w:ascii="Bookman Old Style" w:hAnsi="Bookman Old Style"/>
          <w:sz w:val="24"/>
          <w:szCs w:val="24"/>
        </w:rPr>
        <w:t xml:space="preserve"> - </w:t>
      </w:r>
      <w:r w:rsidRPr="005E2C06">
        <w:rPr>
          <w:rFonts w:ascii="Bookman Old Style" w:hAnsi="Bookman Old Style"/>
          <w:sz w:val="24"/>
          <w:szCs w:val="24"/>
        </w:rPr>
        <w:t>Do Procedimento para Recebimento Provisório e Definitivo dos Serviços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49. O recebimento provisório e definitivo dos serviços deve ser realizado conforme o disposto nos </w:t>
      </w:r>
      <w:proofErr w:type="spellStart"/>
      <w:r w:rsidRPr="005E2C06">
        <w:rPr>
          <w:rFonts w:ascii="Bookman Old Style" w:hAnsi="Bookman Old Style"/>
          <w:sz w:val="24"/>
          <w:szCs w:val="24"/>
        </w:rPr>
        <w:t>arts</w:t>
      </w:r>
      <w:proofErr w:type="spellEnd"/>
      <w:r w:rsidRPr="005E2C06">
        <w:rPr>
          <w:rFonts w:ascii="Bookman Old Style" w:hAnsi="Bookman Old Style"/>
          <w:sz w:val="24"/>
          <w:szCs w:val="24"/>
        </w:rPr>
        <w:t xml:space="preserve">. </w:t>
      </w:r>
      <w:proofErr w:type="gramStart"/>
      <w:r w:rsidRPr="005E2C06">
        <w:rPr>
          <w:rFonts w:ascii="Bookman Old Style" w:hAnsi="Bookman Old Style"/>
          <w:sz w:val="24"/>
          <w:szCs w:val="24"/>
        </w:rPr>
        <w:t>73 a 76 da Lei nº</w:t>
      </w:r>
      <w:proofErr w:type="gramEnd"/>
      <w:r w:rsidRPr="005E2C06">
        <w:rPr>
          <w:rFonts w:ascii="Bookman Old Style" w:hAnsi="Bookman Old Style"/>
          <w:sz w:val="24"/>
          <w:szCs w:val="24"/>
        </w:rPr>
        <w:t xml:space="preserve"> 8.666, de 1993, e em consonância com as regras definidas no ato convocatório.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50. Exceto nos casos previstos no art. 74 da Lei n.º 8.666, de 1993, ao realizar o recebimento dos serviços, o órgão ou entidade deve observar o princípio da segregação das funções e orientar-se pelas seguintes diretrizes: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o recebimento provisório será realizado pelo fiscal técnico, fiscal administrativo, fiscal setorial ou equipe de fiscalização, nos seguintes termos: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 elaborar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b)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o recebimento definitivo pelo gestor do contrato, ato que concretiza o ateste da execução dos serviços, obedecerá às seguintes diretrizes: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 realizar a análise dos relatórios e de toda a documentação apresentada pela fiscalização técnica e administrativa e, caso haja irregularidades que impeçam a liquidação e o pagamento da despesa, indicar as cláusulas contratuais pertinentes, solicitando à contratada, por escrito, as respectivas correções;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b) emitir termo circunstanciado para efeito de recebimento definitivo dos serviços prestados, com base nos relatórios e documentação apresentados;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c) comunicar a empresa para que emita a Nota Fiscal ou Fatura com o valor exato dimensionado pela fiscalização com base no Instrumento de Medição de Resultado (IMR), observado o Anexo VIII-A ou instrumento substituto, se for o caso.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Default="005E2C06" w:rsidP="005E2C06">
      <w:pPr>
        <w:rPr>
          <w:rFonts w:ascii="Bookman Old Style" w:hAnsi="Bookman Old Style"/>
          <w:sz w:val="24"/>
          <w:szCs w:val="24"/>
        </w:rPr>
      </w:pPr>
    </w:p>
    <w:p w:rsidR="005E2C06" w:rsidRDefault="005E2C06" w:rsidP="005E2C06">
      <w:pPr>
        <w:rPr>
          <w:rFonts w:ascii="Bookman Old Style" w:hAnsi="Bookman Old Style"/>
          <w:sz w:val="24"/>
          <w:szCs w:val="24"/>
        </w:rPr>
      </w:pPr>
    </w:p>
    <w:p w:rsid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Subseção IV</w:t>
      </w:r>
      <w:r>
        <w:rPr>
          <w:rFonts w:ascii="Bookman Old Style" w:hAnsi="Bookman Old Style"/>
          <w:sz w:val="24"/>
          <w:szCs w:val="24"/>
        </w:rPr>
        <w:t xml:space="preserve"> - </w:t>
      </w:r>
      <w:r w:rsidRPr="005E2C06">
        <w:rPr>
          <w:rFonts w:ascii="Bookman Old Style" w:hAnsi="Bookman Old Style"/>
          <w:sz w:val="24"/>
          <w:szCs w:val="24"/>
        </w:rPr>
        <w:t>Da Vigência e da Prorrogação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51. As regras para a vigência e prorrogação dos contratos regidos por esta Instrução Normativa estão dispostas no Anexo IX.</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Subseção V</w:t>
      </w:r>
      <w:r>
        <w:rPr>
          <w:rFonts w:ascii="Bookman Old Style" w:hAnsi="Bookman Old Style"/>
          <w:sz w:val="24"/>
          <w:szCs w:val="24"/>
        </w:rPr>
        <w:t xml:space="preserve"> - </w:t>
      </w:r>
      <w:r w:rsidRPr="005E2C06">
        <w:rPr>
          <w:rFonts w:ascii="Bookman Old Style" w:hAnsi="Bookman Old Style"/>
          <w:sz w:val="24"/>
          <w:szCs w:val="24"/>
        </w:rPr>
        <w:t>Da Alteração dos Contratos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52. As regras para a alteração dos contratos regidos por esta Instrução Normativa estão dispostas no Anexo X.</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proofErr w:type="gramStart"/>
      <w:r w:rsidRPr="005E2C06">
        <w:rPr>
          <w:rFonts w:ascii="Bookman Old Style" w:hAnsi="Bookman Old Style"/>
          <w:sz w:val="24"/>
          <w:szCs w:val="24"/>
        </w:rPr>
        <w:t>Subseção VI</w:t>
      </w:r>
      <w:proofErr w:type="gramEnd"/>
      <w:r>
        <w:rPr>
          <w:rFonts w:ascii="Bookman Old Style" w:hAnsi="Bookman Old Style"/>
          <w:sz w:val="24"/>
          <w:szCs w:val="24"/>
        </w:rPr>
        <w:t xml:space="preserve"> - </w:t>
      </w:r>
      <w:r w:rsidRPr="005E2C06">
        <w:rPr>
          <w:rFonts w:ascii="Bookman Old Style" w:hAnsi="Bookman Old Style"/>
          <w:sz w:val="24"/>
          <w:szCs w:val="24"/>
        </w:rPr>
        <w:t>Da Repactuação e do Reajuste de Preços dos Contratos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53. O ato convocatório e o contrato de serviço continuado deverão indicar o critério de reajustamento de preços, que deverá ser sob a forma de reajuste em sentido estrito, com a previsão de índices específicos ou setoriais, ou por repactuação, pela demonstração analítica da variação dos componentes dos custos.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54. A repactuação de preços</w:t>
      </w:r>
      <w:proofErr w:type="gramStart"/>
      <w:r w:rsidRPr="005E2C06">
        <w:rPr>
          <w:rFonts w:ascii="Bookman Old Style" w:hAnsi="Bookman Old Style"/>
          <w:sz w:val="24"/>
          <w:szCs w:val="24"/>
        </w:rPr>
        <w:t>, como espécie de reajuste contratual, deverá</w:t>
      </w:r>
      <w:proofErr w:type="gramEnd"/>
      <w:r w:rsidRPr="005E2C06">
        <w:rPr>
          <w:rFonts w:ascii="Bookman Old Style" w:hAnsi="Bookman Old Style"/>
          <w:sz w:val="24"/>
          <w:szCs w:val="24"/>
        </w:rPr>
        <w:t xml:space="preserve"> ser utilizada nas contratações de serviços continuados com regime de dedicação exclusiva de mão de obra, desde que seja observado o interregno mínimo de um ano das datas dos orçamentos aos quais a proposta se referir.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A repactuação para fazer face à elevação dos custos da contratação, respeitada a anualidade disposta no caput, e que vier a ocorrer durante a vigência do contrato, é direito do contratado e não poderá alterar o equilíbrio econômico e financeiro dos contratos, conforme estabelece o inciso XXI do art. 37 da Constituição da República Federativa do Brasil, sendo assegurado ao prestador receber pagamento mantidas as condições efetivas da proposta.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A repactuação poderá ser dividida em tantas parcelas quanto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Quando a contratação envolver mais de uma categoria profissional, com datas-bases diferenciadas, a repactuação deverá ser dividida em tantos quanto forem os Acordos, Convenções ou Dissídios Coletivos de Trabalho das categorias envolvidas na contratação.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4º A repactuação para reajuste do contrato em razão de novo Acordo, Convenção ou Dissídio Coletivo de Trabalho deve repassar integralmente o aumento de custos da mão de obra decorrente desses instrumentos.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55. O interregno mínimo de um ano para a primeira repactuação será contado a partir: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 - da data limite para apresentação das propostas constante do ato convocatório, em relação aos custos com a execução do serviço decorrentes do mercado, tais como o custo dos materiais e equipamentos necessários à execução do serviço; </w:t>
      </w:r>
      <w:proofErr w:type="gramStart"/>
      <w:r w:rsidRPr="005E2C06">
        <w:rPr>
          <w:rFonts w:ascii="Bookman Old Style" w:hAnsi="Bookman Old Style"/>
          <w:sz w:val="24"/>
          <w:szCs w:val="24"/>
        </w:rPr>
        <w:t>ou</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da data do Acordo, Convenção, Dissídio Coletivo de Trabalho ou equivalente vigente à época da apresentação da proposta quando a variação dos custos for decorrente da mão de obra e estiver vinculada às datas-bases destes instrumentos.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56. Nas repactuações subsequentes à primeira, a anualidade será contada a partir da data do fato gerador que deu ensejo à última repactuação.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57. As repactuações serão precedidas de solicitação da contratada, acompanhada de demonstração analítica da alteração dos custos, por meio de apresentação da planilha de custos e formação de preços ou do novo Acordo, Convenção ou Dissídio Coletivo de Trabalho que fundamenta a repactuação, conforme for </w:t>
      </w:r>
      <w:proofErr w:type="gramStart"/>
      <w:r w:rsidRPr="005E2C06">
        <w:rPr>
          <w:rFonts w:ascii="Bookman Old Style" w:hAnsi="Bookman Old Style"/>
          <w:sz w:val="24"/>
          <w:szCs w:val="24"/>
        </w:rPr>
        <w:t>a</w:t>
      </w:r>
      <w:proofErr w:type="gramEnd"/>
      <w:r w:rsidRPr="005E2C06">
        <w:rPr>
          <w:rFonts w:ascii="Bookman Old Style" w:hAnsi="Bookman Old Style"/>
          <w:sz w:val="24"/>
          <w:szCs w:val="24"/>
        </w:rPr>
        <w:t xml:space="preserve"> variação de custos objeto da repactuação.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É vedada a inclusão, por ocasião da repactuação, de benefícios não previstos na proposta inicial, exceto quando se tornarem obrigatórios por força de instrumento legal, Acordo, Convenção ou Dissídio Coletivo de Trabalho, observado o disposto no art. 6º desta Instrução Normativa.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A variação de custos decorrente do mercado somente será concedida mediante a comprovação pelo contratado do aumento dos custos, considerando-se: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os preços praticados no mercado ou em outros contratos da Administração;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as particularidades do contrato em vigência;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a nova planilha com variação dos custos apresentada;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IV - indicadores setoriais, tabelas de fabricantes, valores oficiais de referência, tarifas públicas ou outros equivalentes;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V - a disponibilidade orçamentária do órgão ou entidade contratante.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A decisão sobre o pedido de repactuação deve ser feita no prazo máximo de sessenta dias, contados a partir da solicitação e da entrega dos comprovantes de variação dos custos.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4º As repactuações, como espécie de reajuste, serão formalizadas por meio de </w:t>
      </w:r>
      <w:proofErr w:type="spellStart"/>
      <w:r w:rsidRPr="005E2C06">
        <w:rPr>
          <w:rFonts w:ascii="Bookman Old Style" w:hAnsi="Bookman Old Style"/>
          <w:sz w:val="24"/>
          <w:szCs w:val="24"/>
        </w:rPr>
        <w:t>apostilamento</w:t>
      </w:r>
      <w:proofErr w:type="spellEnd"/>
      <w:r w:rsidRPr="005E2C06">
        <w:rPr>
          <w:rFonts w:ascii="Bookman Old Style" w:hAnsi="Bookman Old Style"/>
          <w:sz w:val="24"/>
          <w:szCs w:val="24"/>
        </w:rPr>
        <w:t>, exceto quando coincidirem com a prorrogação contratual, em que deverão ser formalizadas por aditamento.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5º O prazo referido no § 3º deste artigo ficará suspenso enquanto a contratada não cumprir os atos ou apresentar a documentação solicitada pela contratante para a comprovação da variação dos custos.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6º O órgão ou entidade contratante poderá realizar diligências para conferir a variação de custos alegada pela contratada.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7º As repactuações a que o contratado fizer jus e que não forem solicitadas durante a vigência do contrato serão objeto de preclusão com a assinatura da prorrogação contratual ou com o encerramento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58. Os novos valores contratuais decorrentes das repactuações terão suas vigências iniciadas da seguinte forma: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a partir da ocorrência do fato gerador que deu causa à repactuação, como regra geral;</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 - em data futura, desde que acordada entre as partes, sem prejuízo da contagem de periodicidade e para concessão das próximas repactuações futuras; </w:t>
      </w:r>
      <w:proofErr w:type="gramStart"/>
      <w:r w:rsidRPr="005E2C06">
        <w:rPr>
          <w:rFonts w:ascii="Bookman Old Style" w:hAnsi="Bookman Old Style"/>
          <w:sz w:val="24"/>
          <w:szCs w:val="24"/>
        </w:rPr>
        <w:t>ou</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III - em data anterior à ocorrência do fato gerador, exclusivamente quando a repactuação envolver revisão do custo de mão de obra em que o próprio fato gerador, na forma de Acordo, Convenção ou Dissídio Coletivo de Trabalho, contemplar data de vigência retroativa, podendo esta ser considerada para efeito de compensação do pagamento devido, assim como para a contagem da anualidade em repactuações futuras.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Os efeitos financeiros da repactuação deverão ocorrer exclusivamente para os itens que a motivaram e apenas em relação à diferença porventura existente.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59. As repactuações não interferem no direito das partes de solicitar, a qualquer momento, a manutenção do equilíbrio econômico dos contratos com base no disposto no art. 65 da Lei nº 8.666, de 1993.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60. A empresa contratada para a execução de remanescente de serviço tem direito à repactuação nas mesmas condições e prazos a que fazia jus a empresa anteriormente contratada, devendo os seus preços </w:t>
      </w:r>
      <w:proofErr w:type="gramStart"/>
      <w:r w:rsidRPr="005E2C06">
        <w:rPr>
          <w:rFonts w:ascii="Bookman Old Style" w:hAnsi="Bookman Old Style"/>
          <w:sz w:val="24"/>
          <w:szCs w:val="24"/>
        </w:rPr>
        <w:t>serem</w:t>
      </w:r>
      <w:proofErr w:type="gramEnd"/>
      <w:r w:rsidRPr="005E2C06">
        <w:rPr>
          <w:rFonts w:ascii="Bookman Old Style" w:hAnsi="Bookman Old Style"/>
          <w:sz w:val="24"/>
          <w:szCs w:val="24"/>
        </w:rPr>
        <w:t xml:space="preserve"> corrigidos antes do início da contratação, conforme determina o inciso XI do art. 24 da Lei nº 8.666, de 1993.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61. O reajuste em sentido estrito, como espécie de reajuste contratual, consiste na aplicação de índice de correção monetária previsto no contrato, que deverá retratar a variação efetiva do custo de produção, admitida a adoção de índices específicos ou setoriais.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É admitida estipulação de reajuste em sentido estrito nos contratos de prazo de duração igual ou superior a um ano, desde que não haja regime de dedicação exclusiva de mão de obra.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O reajuste em sentido estrito terá periodicidade igual ou superior a um ano, sendo o termo inicial do período de correção monetária ou reajuste, a data prevista para apresentação da proposta ou do orçamento a que essa proposta se referir, ou, no caso de novo reajuste, a data a que o anterior tiver se referido.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3º São nulos de pleno direito quaisquer expedientes que, na apuração do índice de reajuste, produzam efeitos financeiros equivalentes aos de reajuste de periodicidade inferior à anual.</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4º Nos casos em que o valor dos contratos de serviços continuados sejam preponderantemente </w:t>
      </w:r>
      <w:proofErr w:type="gramStart"/>
      <w:r w:rsidRPr="005E2C06">
        <w:rPr>
          <w:rFonts w:ascii="Bookman Old Style" w:hAnsi="Bookman Old Style"/>
          <w:sz w:val="24"/>
          <w:szCs w:val="24"/>
        </w:rPr>
        <w:t>formados</w:t>
      </w:r>
      <w:proofErr w:type="gramEnd"/>
      <w:r w:rsidRPr="005E2C06">
        <w:rPr>
          <w:rFonts w:ascii="Bookman Old Style" w:hAnsi="Bookman Old Style"/>
          <w:sz w:val="24"/>
          <w:szCs w:val="24"/>
        </w:rPr>
        <w:t xml:space="preserve"> pelos custos dos insumos, poderá ser adotado o reajuste de que trata este artigo.</w:t>
      </w:r>
    </w:p>
    <w:p w:rsidR="005E2C06" w:rsidRP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Subseção VII</w:t>
      </w:r>
      <w:r>
        <w:rPr>
          <w:rFonts w:ascii="Bookman Old Style" w:hAnsi="Bookman Old Style"/>
          <w:sz w:val="24"/>
          <w:szCs w:val="24"/>
        </w:rPr>
        <w:t xml:space="preserve"> - </w:t>
      </w:r>
      <w:r w:rsidRPr="005E2C06">
        <w:rPr>
          <w:rFonts w:ascii="Bookman Old Style" w:hAnsi="Bookman Old Style"/>
          <w:sz w:val="24"/>
          <w:szCs w:val="24"/>
        </w:rPr>
        <w:t>Da Desconformidade da Proposta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62. O fiscal técnico, na fase da execução contratual, ao verificar que houve </w:t>
      </w:r>
      <w:proofErr w:type="spellStart"/>
      <w:r w:rsidRPr="005E2C06">
        <w:rPr>
          <w:rFonts w:ascii="Bookman Old Style" w:hAnsi="Bookman Old Style"/>
          <w:sz w:val="24"/>
          <w:szCs w:val="24"/>
        </w:rPr>
        <w:t>subdimensionamento</w:t>
      </w:r>
      <w:proofErr w:type="spellEnd"/>
      <w:r w:rsidRPr="005E2C06">
        <w:rPr>
          <w:rFonts w:ascii="Bookman Old Style" w:hAnsi="Bookman Old Style"/>
          <w:sz w:val="24"/>
          <w:szCs w:val="24"/>
        </w:rPr>
        <w:t xml:space="preserve"> da produtividade pactuada, sem perda da qualidade na execução do serviço, deverá comunicar à autoridade competente do setor de licitações para que esta promova a adequação contratual à produtividade efetivamente realizada, respeitando-se os limites de alteração dos valores contratuais previstos no § 1º do art. 65 da Lei nº 8.666, de 1993.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63. A contratada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1º O disposto no caput deve ser observado ainda para os custos variáveis decorrentes de fatores futuros e incertos, tais como os valores providos com o quantitativo de vale-transporte.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2º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IV</w:t>
      </w:r>
      <w:r>
        <w:rPr>
          <w:rFonts w:ascii="Bookman Old Style" w:hAnsi="Bookman Old Style"/>
          <w:sz w:val="24"/>
          <w:szCs w:val="24"/>
        </w:rPr>
        <w:t xml:space="preserve"> - </w:t>
      </w:r>
      <w:r w:rsidRPr="005E2C06">
        <w:rPr>
          <w:rFonts w:ascii="Bookman Old Style" w:hAnsi="Bookman Old Style"/>
          <w:sz w:val="24"/>
          <w:szCs w:val="24"/>
        </w:rPr>
        <w:t>Das Hipóteses de Retenção da Garantia e de Créditos da Contratada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64. Quando da rescisão dos contratos de serviços com regime de dedicação exclusiva de mão de obra, o fiscal administrativo deve verificar o pagamento pela contratada das verbas rescisórias ou dos documentos que comprovem que os empregados serão realocados em outra atividade de prestação de serviços, sem que ocorra a interrupção do contrato de trabalho.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65. Até que a contratada comprove o disposto no artigo anterior, o órgão ou entidade contratante deverá reter: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 - a garantia contratual, conforme art. 56 da Lei nº 8.666, de 1993, prestada com cobertura para os casos de descumprimento das obrigações de natureza trabalhista e previdenciária pela contratada, que será executada para reembolso dos prejuízos sofridos pela Administração, nos termos da legislação que rege a matéria;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os valores das Notas fiscais ou Faturas correspondentes em valor proporcional ao inadimplemento, até que a situação seja regularizada.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Na hipótese prevista no inciso II do caput, não havendo quitação das obrigações por parte da contratada no prazo de quinze dias, a contratante poderá efetuar o pagamento das obrigações diretamente aos empregados da contratada que tenham participado da execução dos serviços objeto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66. O órgão ou entidade poderá ainda: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 - nos casos de obrigação de pagamento de multa pela contratada, reter a garantia prestada a ser executada conforme legislação que rege a matéria;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nos casos em que houver necessidade de ressarcimento de prejuízos causados à Administração, nos termos do inciso IV do art. 80 da Lei n.º 8.666, de 1993, reter os eventuais créditos existentes em favor da contratada decorrentes do contrato.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Parágrafo único. Se a multa for de valor superior ao valor da garantia prestada, além da perda desta, responderá a contratada pela sua diferença, a qual será descontada dos pagamentos eventualmente devidos pela Administração ou ainda, quando for o caso, cobrada judicialmente;</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V</w:t>
      </w:r>
      <w:r>
        <w:rPr>
          <w:rFonts w:ascii="Bookman Old Style" w:hAnsi="Bookman Old Style"/>
          <w:sz w:val="24"/>
          <w:szCs w:val="24"/>
        </w:rPr>
        <w:t xml:space="preserve"> - </w:t>
      </w:r>
      <w:r w:rsidRPr="005E2C06">
        <w:rPr>
          <w:rFonts w:ascii="Bookman Old Style" w:hAnsi="Bookman Old Style"/>
          <w:sz w:val="24"/>
          <w:szCs w:val="24"/>
        </w:rPr>
        <w:t>Do Processo de Pagamento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67. O pagamento deverá ser efetuado em consonância com as regras previstas no Anexo XI.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proofErr w:type="gramStart"/>
      <w:r w:rsidRPr="005E2C06">
        <w:rPr>
          <w:rFonts w:ascii="Bookman Old Style" w:hAnsi="Bookman Old Style"/>
          <w:sz w:val="24"/>
          <w:szCs w:val="24"/>
        </w:rPr>
        <w:t>Seção VI</w:t>
      </w:r>
      <w:proofErr w:type="gramEnd"/>
      <w:r>
        <w:rPr>
          <w:rFonts w:ascii="Bookman Old Style" w:hAnsi="Bookman Old Style"/>
          <w:sz w:val="24"/>
          <w:szCs w:val="24"/>
        </w:rPr>
        <w:t xml:space="preserve"> - </w:t>
      </w:r>
      <w:r w:rsidRPr="005E2C06">
        <w:rPr>
          <w:rFonts w:ascii="Bookman Old Style" w:hAnsi="Bookman Old Style"/>
          <w:sz w:val="24"/>
          <w:szCs w:val="24"/>
        </w:rPr>
        <w:t>Das Sanções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68. Identificada a infração ao contrato, inclusive quanto à inobservância do prazo fixado para apresentação da garantia, o órgão ou entidade deverá providenciar a autuação de procedimento administrativo específico para aplicação de sanções à contratada e a consequente rescisão contratual, se for o caso, de acordo com as regras previstas no ato convocatório, na legislação correlata e nas orientações estabelecidas em normativo interno do órgão ou entidade, quando houver, podendo utilizar como referência os Cadernos de Logística disponibilizados pela Secretaria de Gestão do Ministério do Planejamento, Desenvolvimento e Gestão.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Seção VII</w:t>
      </w:r>
      <w:r w:rsidR="00956A7A">
        <w:rPr>
          <w:rFonts w:ascii="Bookman Old Style" w:hAnsi="Bookman Old Style"/>
          <w:sz w:val="24"/>
          <w:szCs w:val="24"/>
        </w:rPr>
        <w:t xml:space="preserve"> - </w:t>
      </w:r>
      <w:r w:rsidRPr="005E2C06">
        <w:rPr>
          <w:rFonts w:ascii="Bookman Old Style" w:hAnsi="Bookman Old Style"/>
          <w:sz w:val="24"/>
          <w:szCs w:val="24"/>
        </w:rPr>
        <w:t>Do Encerramento dos Contratos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69. Os fiscais do contrato deverão promover as atividades de transição contratual observando, no que couber:</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 - a adequação dos recursos materiais e humanos necessários à continuidade do serviço por parte da Administração;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II - a transferência final de conhecimentos sobre a execução e a manutenção do serviço;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III - a devolução ao órgão ou entidade dos equipamentos, espaço físico, crachás, dentre outros; </w:t>
      </w:r>
      <w:proofErr w:type="gramStart"/>
      <w:r w:rsidRPr="005E2C06">
        <w:rPr>
          <w:rFonts w:ascii="Bookman Old Style" w:hAnsi="Bookman Old Style"/>
          <w:sz w:val="24"/>
          <w:szCs w:val="24"/>
        </w:rPr>
        <w:t>e</w:t>
      </w:r>
      <w:proofErr w:type="gramEnd"/>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IV - outras providências que se apliquem.</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70. Os fiscais deverão elaborar relatório final acerca das ocorrências da fase de execução do contrato, após a conclusão da prestação do serviço, para ser utilizado como fonte de informações para as futuras contratações.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bookmarkStart w:id="0" w:name="_GoBack"/>
      <w:bookmarkEnd w:id="0"/>
      <w:r w:rsidRPr="005E2C06">
        <w:rPr>
          <w:rFonts w:ascii="Bookman Old Style" w:hAnsi="Bookman Old Style"/>
          <w:sz w:val="24"/>
          <w:szCs w:val="24"/>
        </w:rPr>
        <w:t>CAPÍTULO VI</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DISPOSIÇÕES FINAIS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71. A Secretaria de Gestão do Ministério do Planejamento, Desenvolvimento e Gestão poderá </w:t>
      </w:r>
      <w:proofErr w:type="gramStart"/>
      <w:r w:rsidRPr="005E2C06">
        <w:rPr>
          <w:rFonts w:ascii="Bookman Old Style" w:hAnsi="Bookman Old Style"/>
          <w:sz w:val="24"/>
          <w:szCs w:val="24"/>
        </w:rPr>
        <w:t>desenvolver,</w:t>
      </w:r>
      <w:proofErr w:type="gramEnd"/>
      <w:r w:rsidRPr="005E2C06">
        <w:rPr>
          <w:rFonts w:ascii="Bookman Old Style" w:hAnsi="Bookman Old Style"/>
          <w:sz w:val="24"/>
          <w:szCs w:val="24"/>
        </w:rPr>
        <w:t xml:space="preserve"> propor e implementar modelos, mecanismos, processos e procedimentos para a contratação de determinados serviços pelos órgãos e entidades.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72. Para a execução de projeto piloto, a Central de Compras do Ministério do Planejamento, Desenvolvimento e Gestão poderá, desde que justificado nos autos do processo respectivo, afastar a aplicação desta Instrução Normativa, naquilo que for incompatível com a elaboração da nova modelagem de contratação, desde que observados os princípios gerais de licitação e a legislação respectiva.</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Art. 73. Os casos omissos serão dirimidos pela Secretaria de Gestão do Ministério do Planejamento, Desenvolvimento e Gestão, que poderá expedir normas complementares, em especial sobre a fase de Planejamento das Contratações, as sistemáticas de fiscalização contratual e repactuação, e os eventuais valores máximos ou de referência nas contratações dos serviços, bem como disponibilizar em meio </w:t>
      </w:r>
      <w:proofErr w:type="gramStart"/>
      <w:r w:rsidRPr="005E2C06">
        <w:rPr>
          <w:rFonts w:ascii="Bookman Old Style" w:hAnsi="Bookman Old Style"/>
          <w:sz w:val="24"/>
          <w:szCs w:val="24"/>
        </w:rPr>
        <w:t>eletrônico informações</w:t>
      </w:r>
      <w:proofErr w:type="gramEnd"/>
      <w:r w:rsidRPr="005E2C06">
        <w:rPr>
          <w:rFonts w:ascii="Bookman Old Style" w:hAnsi="Bookman Old Style"/>
          <w:sz w:val="24"/>
          <w:szCs w:val="24"/>
        </w:rPr>
        <w:t xml:space="preserve"> adicionais.</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u w:val="single"/>
        </w:rPr>
      </w:pPr>
      <w:r w:rsidRPr="005E2C06">
        <w:rPr>
          <w:rFonts w:ascii="Bookman Old Style" w:hAnsi="Bookman Old Style"/>
          <w:sz w:val="24"/>
          <w:szCs w:val="24"/>
        </w:rPr>
        <w:t xml:space="preserve">Art. 74. </w:t>
      </w:r>
      <w:r w:rsidRPr="005E2C06">
        <w:rPr>
          <w:rFonts w:ascii="Bookman Old Style" w:hAnsi="Bookman Old Style"/>
          <w:sz w:val="24"/>
          <w:szCs w:val="24"/>
          <w:u w:val="single"/>
        </w:rPr>
        <w:t>Fica revogada a Instrução Normativa nº 2, de 30 de abril de 2008.</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Art. 75. Esta Instrução Normativa entra em vigor cento e vinte dias após sua publicação.</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Parágrafo único. </w:t>
      </w:r>
      <w:proofErr w:type="gramStart"/>
      <w:r w:rsidRPr="005E2C06">
        <w:rPr>
          <w:rFonts w:ascii="Bookman Old Style" w:hAnsi="Bookman Old Style"/>
          <w:sz w:val="24"/>
          <w:szCs w:val="24"/>
        </w:rPr>
        <w:t>Permanecem</w:t>
      </w:r>
      <w:proofErr w:type="gramEnd"/>
      <w:r w:rsidRPr="005E2C06">
        <w:rPr>
          <w:rFonts w:ascii="Bookman Old Style" w:hAnsi="Bookman Old Style"/>
          <w:sz w:val="24"/>
          <w:szCs w:val="24"/>
        </w:rPr>
        <w:t xml:space="preserve"> regidos pela Instrução Normativa nº 2, de 2008, os procedimentos administrativos autuados ou registrados até a data de entrada em vigor desta norma. </w:t>
      </w: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 xml:space="preserve">§ 1 º </w:t>
      </w:r>
      <w:proofErr w:type="gramStart"/>
      <w:r w:rsidRPr="005E2C06">
        <w:rPr>
          <w:rFonts w:ascii="Bookman Old Style" w:hAnsi="Bookman Old Style"/>
          <w:sz w:val="24"/>
          <w:szCs w:val="24"/>
        </w:rPr>
        <w:t>Permanecem</w:t>
      </w:r>
      <w:proofErr w:type="gramEnd"/>
      <w:r w:rsidRPr="005E2C06">
        <w:rPr>
          <w:rFonts w:ascii="Bookman Old Style" w:hAnsi="Bookman Old Style"/>
          <w:sz w:val="24"/>
          <w:szCs w:val="24"/>
        </w:rPr>
        <w:t xml:space="preserve"> regidos pela Instrução Normativa nº 2, de 2008, todos os contratos decorrentes dos procedimentos administrativos autuados ou registrados até a data de entrada em vigor desta norma. (Incluído pela Instrução Normativa nº 7, de 2018</w:t>
      </w:r>
      <w:proofErr w:type="gramStart"/>
      <w:r w:rsidRPr="005E2C06">
        <w:rPr>
          <w:rFonts w:ascii="Bookman Old Style" w:hAnsi="Bookman Old Style"/>
          <w:sz w:val="24"/>
          <w:szCs w:val="24"/>
        </w:rPr>
        <w:t>)</w:t>
      </w:r>
      <w:proofErr w:type="gramEnd"/>
    </w:p>
    <w:p w:rsidR="005E2C06" w:rsidRP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r w:rsidRPr="005E2C06">
        <w:rPr>
          <w:rFonts w:ascii="Bookman Old Style" w:hAnsi="Bookman Old Style"/>
          <w:sz w:val="24"/>
          <w:szCs w:val="24"/>
        </w:rPr>
        <w:t>§2º Incluem-se na previsão do §1º deste artigo, as respectivas renovações ou prorrogações de vigência desses contratos, ainda que venham a ocorrer já na vigência desta Instrução Normativa. (Incluído pela Instrução Normativa nº 7, de 2018</w:t>
      </w:r>
      <w:proofErr w:type="gramStart"/>
      <w:r w:rsidRPr="005E2C06">
        <w:rPr>
          <w:rFonts w:ascii="Bookman Old Style" w:hAnsi="Bookman Old Style"/>
          <w:sz w:val="24"/>
          <w:szCs w:val="24"/>
        </w:rPr>
        <w:t>)</w:t>
      </w:r>
      <w:proofErr w:type="gramEnd"/>
    </w:p>
    <w:p w:rsidR="005E2C06" w:rsidRPr="005E2C06" w:rsidRDefault="005E2C06" w:rsidP="005E2C06">
      <w:pPr>
        <w:rPr>
          <w:rFonts w:ascii="Bookman Old Style" w:hAnsi="Bookman Old Style"/>
          <w:sz w:val="24"/>
          <w:szCs w:val="24"/>
        </w:rPr>
      </w:pPr>
    </w:p>
    <w:p w:rsidR="005E2C06" w:rsidRPr="005E2C06" w:rsidRDefault="005E2C06" w:rsidP="005E2C06">
      <w:pPr>
        <w:rPr>
          <w:rFonts w:ascii="Bookman Old Style" w:hAnsi="Bookman Old Style"/>
          <w:sz w:val="24"/>
          <w:szCs w:val="24"/>
        </w:rPr>
      </w:pPr>
    </w:p>
    <w:sectPr w:rsidR="005E2C06" w:rsidRPr="005E2C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34B"/>
    <w:multiLevelType w:val="multilevel"/>
    <w:tmpl w:val="BF14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970BF"/>
    <w:multiLevelType w:val="multilevel"/>
    <w:tmpl w:val="4DEA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644B6"/>
    <w:multiLevelType w:val="multilevel"/>
    <w:tmpl w:val="6E9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B4502"/>
    <w:multiLevelType w:val="multilevel"/>
    <w:tmpl w:val="2AFE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E0B9A"/>
    <w:multiLevelType w:val="multilevel"/>
    <w:tmpl w:val="664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06"/>
    <w:rsid w:val="00067BCF"/>
    <w:rsid w:val="005E2C06"/>
    <w:rsid w:val="00956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E2C06"/>
    <w:pPr>
      <w:spacing w:after="0" w:line="600" w:lineRule="atLeast"/>
      <w:outlineLvl w:val="0"/>
    </w:pPr>
    <w:rPr>
      <w:rFonts w:ascii="Arial" w:eastAsia="Times New Roman" w:hAnsi="Arial" w:cs="Arial"/>
      <w:b/>
      <w:bCs/>
      <w:kern w:val="36"/>
      <w:sz w:val="58"/>
      <w:szCs w:val="58"/>
      <w:lang w:eastAsia="pt-BR"/>
    </w:rPr>
  </w:style>
  <w:style w:type="paragraph" w:styleId="Ttulo2">
    <w:name w:val="heading 2"/>
    <w:basedOn w:val="Normal"/>
    <w:link w:val="Ttulo2Char"/>
    <w:uiPriority w:val="9"/>
    <w:qFormat/>
    <w:rsid w:val="005E2C06"/>
    <w:pPr>
      <w:spacing w:after="0" w:line="600" w:lineRule="atLeast"/>
      <w:outlineLvl w:val="1"/>
    </w:pPr>
    <w:rPr>
      <w:rFonts w:ascii="Arial" w:eastAsia="Times New Roman" w:hAnsi="Arial" w:cs="Arial"/>
      <w:b/>
      <w:bCs/>
      <w:sz w:val="47"/>
      <w:szCs w:val="4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E2C06"/>
    <w:rPr>
      <w:rFonts w:ascii="Arial" w:eastAsia="Times New Roman" w:hAnsi="Arial" w:cs="Arial"/>
      <w:b/>
      <w:bCs/>
      <w:kern w:val="36"/>
      <w:sz w:val="58"/>
      <w:szCs w:val="58"/>
      <w:lang w:eastAsia="pt-BR"/>
    </w:rPr>
  </w:style>
  <w:style w:type="character" w:customStyle="1" w:styleId="Ttulo2Char">
    <w:name w:val="Título 2 Char"/>
    <w:basedOn w:val="Fontepargpadro"/>
    <w:link w:val="Ttulo2"/>
    <w:uiPriority w:val="9"/>
    <w:rsid w:val="005E2C06"/>
    <w:rPr>
      <w:rFonts w:ascii="Arial" w:eastAsia="Times New Roman" w:hAnsi="Arial" w:cs="Arial"/>
      <w:b/>
      <w:bCs/>
      <w:sz w:val="47"/>
      <w:szCs w:val="47"/>
      <w:lang w:eastAsia="pt-BR"/>
    </w:rPr>
  </w:style>
  <w:style w:type="character" w:styleId="Hyperlink">
    <w:name w:val="Hyperlink"/>
    <w:basedOn w:val="Fontepargpadro"/>
    <w:uiPriority w:val="99"/>
    <w:semiHidden/>
    <w:unhideWhenUsed/>
    <w:rsid w:val="005E2C06"/>
    <w:rPr>
      <w:strike w:val="0"/>
      <w:dstrike w:val="0"/>
      <w:color w:val="0088CC"/>
      <w:u w:val="none"/>
      <w:effect w:val="none"/>
    </w:rPr>
  </w:style>
  <w:style w:type="character" w:customStyle="1" w:styleId="hide4">
    <w:name w:val="hide4"/>
    <w:basedOn w:val="Fontepargpadro"/>
    <w:rsid w:val="005E2C06"/>
    <w:rPr>
      <w:vanish/>
      <w:webHidden w:val="0"/>
      <w:specVanish w:val="0"/>
    </w:rPr>
  </w:style>
  <w:style w:type="paragraph" w:styleId="Partesuperior-zdoformulrio">
    <w:name w:val="HTML Top of Form"/>
    <w:basedOn w:val="Normal"/>
    <w:next w:val="Normal"/>
    <w:link w:val="Partesuperior-zdoformulrioChar"/>
    <w:hidden/>
    <w:uiPriority w:val="99"/>
    <w:semiHidden/>
    <w:unhideWhenUsed/>
    <w:rsid w:val="005E2C0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E2C0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5E2C0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5E2C06"/>
    <w:rPr>
      <w:rFonts w:ascii="Arial" w:eastAsia="Times New Roman" w:hAnsi="Arial" w:cs="Arial"/>
      <w:vanish/>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E2C06"/>
    <w:pPr>
      <w:spacing w:after="0" w:line="600" w:lineRule="atLeast"/>
      <w:outlineLvl w:val="0"/>
    </w:pPr>
    <w:rPr>
      <w:rFonts w:ascii="Arial" w:eastAsia="Times New Roman" w:hAnsi="Arial" w:cs="Arial"/>
      <w:b/>
      <w:bCs/>
      <w:kern w:val="36"/>
      <w:sz w:val="58"/>
      <w:szCs w:val="58"/>
      <w:lang w:eastAsia="pt-BR"/>
    </w:rPr>
  </w:style>
  <w:style w:type="paragraph" w:styleId="Ttulo2">
    <w:name w:val="heading 2"/>
    <w:basedOn w:val="Normal"/>
    <w:link w:val="Ttulo2Char"/>
    <w:uiPriority w:val="9"/>
    <w:qFormat/>
    <w:rsid w:val="005E2C06"/>
    <w:pPr>
      <w:spacing w:after="0" w:line="600" w:lineRule="atLeast"/>
      <w:outlineLvl w:val="1"/>
    </w:pPr>
    <w:rPr>
      <w:rFonts w:ascii="Arial" w:eastAsia="Times New Roman" w:hAnsi="Arial" w:cs="Arial"/>
      <w:b/>
      <w:bCs/>
      <w:sz w:val="47"/>
      <w:szCs w:val="4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E2C06"/>
    <w:rPr>
      <w:rFonts w:ascii="Arial" w:eastAsia="Times New Roman" w:hAnsi="Arial" w:cs="Arial"/>
      <w:b/>
      <w:bCs/>
      <w:kern w:val="36"/>
      <w:sz w:val="58"/>
      <w:szCs w:val="58"/>
      <w:lang w:eastAsia="pt-BR"/>
    </w:rPr>
  </w:style>
  <w:style w:type="character" w:customStyle="1" w:styleId="Ttulo2Char">
    <w:name w:val="Título 2 Char"/>
    <w:basedOn w:val="Fontepargpadro"/>
    <w:link w:val="Ttulo2"/>
    <w:uiPriority w:val="9"/>
    <w:rsid w:val="005E2C06"/>
    <w:rPr>
      <w:rFonts w:ascii="Arial" w:eastAsia="Times New Roman" w:hAnsi="Arial" w:cs="Arial"/>
      <w:b/>
      <w:bCs/>
      <w:sz w:val="47"/>
      <w:szCs w:val="47"/>
      <w:lang w:eastAsia="pt-BR"/>
    </w:rPr>
  </w:style>
  <w:style w:type="character" w:styleId="Hyperlink">
    <w:name w:val="Hyperlink"/>
    <w:basedOn w:val="Fontepargpadro"/>
    <w:uiPriority w:val="99"/>
    <w:semiHidden/>
    <w:unhideWhenUsed/>
    <w:rsid w:val="005E2C06"/>
    <w:rPr>
      <w:strike w:val="0"/>
      <w:dstrike w:val="0"/>
      <w:color w:val="0088CC"/>
      <w:u w:val="none"/>
      <w:effect w:val="none"/>
    </w:rPr>
  </w:style>
  <w:style w:type="character" w:customStyle="1" w:styleId="hide4">
    <w:name w:val="hide4"/>
    <w:basedOn w:val="Fontepargpadro"/>
    <w:rsid w:val="005E2C06"/>
    <w:rPr>
      <w:vanish/>
      <w:webHidden w:val="0"/>
      <w:specVanish w:val="0"/>
    </w:rPr>
  </w:style>
  <w:style w:type="paragraph" w:styleId="Partesuperior-zdoformulrio">
    <w:name w:val="HTML Top of Form"/>
    <w:basedOn w:val="Normal"/>
    <w:next w:val="Normal"/>
    <w:link w:val="Partesuperior-zdoformulrioChar"/>
    <w:hidden/>
    <w:uiPriority w:val="99"/>
    <w:semiHidden/>
    <w:unhideWhenUsed/>
    <w:rsid w:val="005E2C0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E2C0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5E2C0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5E2C06"/>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8831">
      <w:bodyDiv w:val="1"/>
      <w:marLeft w:val="0"/>
      <w:marRight w:val="0"/>
      <w:marTop w:val="0"/>
      <w:marBottom w:val="0"/>
      <w:divBdr>
        <w:top w:val="none" w:sz="0" w:space="0" w:color="auto"/>
        <w:left w:val="none" w:sz="0" w:space="0" w:color="auto"/>
        <w:bottom w:val="none" w:sz="0" w:space="0" w:color="auto"/>
        <w:right w:val="none" w:sz="0" w:space="0" w:color="auto"/>
      </w:divBdr>
    </w:div>
    <w:div w:id="440535986">
      <w:bodyDiv w:val="1"/>
      <w:marLeft w:val="0"/>
      <w:marRight w:val="0"/>
      <w:marTop w:val="0"/>
      <w:marBottom w:val="0"/>
      <w:divBdr>
        <w:top w:val="none" w:sz="0" w:space="0" w:color="auto"/>
        <w:left w:val="none" w:sz="0" w:space="0" w:color="auto"/>
        <w:bottom w:val="none" w:sz="0" w:space="0" w:color="auto"/>
        <w:right w:val="none" w:sz="0" w:space="0" w:color="auto"/>
      </w:divBdr>
    </w:div>
    <w:div w:id="891892136">
      <w:bodyDiv w:val="1"/>
      <w:marLeft w:val="0"/>
      <w:marRight w:val="0"/>
      <w:marTop w:val="0"/>
      <w:marBottom w:val="0"/>
      <w:divBdr>
        <w:top w:val="none" w:sz="0" w:space="0" w:color="auto"/>
        <w:left w:val="none" w:sz="0" w:space="0" w:color="auto"/>
        <w:bottom w:val="none" w:sz="0" w:space="0" w:color="auto"/>
        <w:right w:val="none" w:sz="0" w:space="0" w:color="auto"/>
      </w:divBdr>
    </w:div>
    <w:div w:id="1876238356">
      <w:bodyDiv w:val="1"/>
      <w:marLeft w:val="0"/>
      <w:marRight w:val="0"/>
      <w:marTop w:val="0"/>
      <w:marBottom w:val="0"/>
      <w:divBdr>
        <w:top w:val="none" w:sz="0" w:space="0" w:color="auto"/>
        <w:left w:val="none" w:sz="0" w:space="0" w:color="auto"/>
        <w:bottom w:val="none" w:sz="0" w:space="0" w:color="auto"/>
        <w:right w:val="none" w:sz="0" w:space="0" w:color="auto"/>
      </w:divBdr>
      <w:divsChild>
        <w:div w:id="797144826">
          <w:marLeft w:val="0"/>
          <w:marRight w:val="0"/>
          <w:marTop w:val="0"/>
          <w:marBottom w:val="0"/>
          <w:divBdr>
            <w:top w:val="none" w:sz="0" w:space="0" w:color="auto"/>
            <w:left w:val="none" w:sz="0" w:space="0" w:color="auto"/>
            <w:bottom w:val="none" w:sz="0" w:space="0" w:color="auto"/>
            <w:right w:val="none" w:sz="0" w:space="0" w:color="auto"/>
          </w:divBdr>
          <w:divsChild>
            <w:div w:id="1266384059">
              <w:marLeft w:val="0"/>
              <w:marRight w:val="0"/>
              <w:marTop w:val="0"/>
              <w:marBottom w:val="0"/>
              <w:divBdr>
                <w:top w:val="none" w:sz="0" w:space="0" w:color="auto"/>
                <w:left w:val="none" w:sz="0" w:space="0" w:color="auto"/>
                <w:bottom w:val="none" w:sz="0" w:space="0" w:color="auto"/>
                <w:right w:val="none" w:sz="0" w:space="0" w:color="auto"/>
              </w:divBdr>
              <w:divsChild>
                <w:div w:id="1360857074">
                  <w:marLeft w:val="0"/>
                  <w:marRight w:val="0"/>
                  <w:marTop w:val="0"/>
                  <w:marBottom w:val="0"/>
                  <w:divBdr>
                    <w:top w:val="none" w:sz="0" w:space="0" w:color="auto"/>
                    <w:left w:val="none" w:sz="0" w:space="0" w:color="auto"/>
                    <w:bottom w:val="none" w:sz="0" w:space="0" w:color="auto"/>
                    <w:right w:val="none" w:sz="0" w:space="0" w:color="auto"/>
                  </w:divBdr>
                  <w:divsChild>
                    <w:div w:id="1780829911">
                      <w:marLeft w:val="0"/>
                      <w:marRight w:val="0"/>
                      <w:marTop w:val="0"/>
                      <w:marBottom w:val="0"/>
                      <w:divBdr>
                        <w:top w:val="none" w:sz="0" w:space="0" w:color="auto"/>
                        <w:left w:val="none" w:sz="0" w:space="0" w:color="auto"/>
                        <w:bottom w:val="none" w:sz="0" w:space="0" w:color="auto"/>
                        <w:right w:val="none" w:sz="0" w:space="0" w:color="auto"/>
                      </w:divBdr>
                    </w:div>
                    <w:div w:id="1251962206">
                      <w:marLeft w:val="0"/>
                      <w:marRight w:val="0"/>
                      <w:marTop w:val="0"/>
                      <w:marBottom w:val="0"/>
                      <w:divBdr>
                        <w:top w:val="none" w:sz="0" w:space="0" w:color="auto"/>
                        <w:left w:val="none" w:sz="0" w:space="0" w:color="auto"/>
                        <w:bottom w:val="none" w:sz="0" w:space="0" w:color="auto"/>
                        <w:right w:val="none" w:sz="0" w:space="0" w:color="auto"/>
                      </w:divBdr>
                      <w:divsChild>
                        <w:div w:id="840387404">
                          <w:marLeft w:val="0"/>
                          <w:marRight w:val="0"/>
                          <w:marTop w:val="0"/>
                          <w:marBottom w:val="0"/>
                          <w:divBdr>
                            <w:top w:val="none" w:sz="0" w:space="0" w:color="auto"/>
                            <w:left w:val="none" w:sz="0" w:space="0" w:color="auto"/>
                            <w:bottom w:val="none" w:sz="0" w:space="0" w:color="auto"/>
                            <w:right w:val="none" w:sz="0" w:space="0" w:color="auto"/>
                          </w:divBdr>
                          <w:divsChild>
                            <w:div w:id="516390715">
                              <w:marLeft w:val="0"/>
                              <w:marRight w:val="0"/>
                              <w:marTop w:val="0"/>
                              <w:marBottom w:val="0"/>
                              <w:divBdr>
                                <w:top w:val="none" w:sz="0" w:space="0" w:color="auto"/>
                                <w:left w:val="none" w:sz="0" w:space="0" w:color="auto"/>
                                <w:bottom w:val="none" w:sz="0" w:space="0" w:color="auto"/>
                                <w:right w:val="none" w:sz="0" w:space="0" w:color="auto"/>
                              </w:divBdr>
                              <w:divsChild>
                                <w:div w:id="974412300">
                                  <w:marLeft w:val="0"/>
                                  <w:marRight w:val="0"/>
                                  <w:marTop w:val="0"/>
                                  <w:marBottom w:val="0"/>
                                  <w:divBdr>
                                    <w:top w:val="none" w:sz="0" w:space="0" w:color="auto"/>
                                    <w:left w:val="none" w:sz="0" w:space="0" w:color="auto"/>
                                    <w:bottom w:val="none" w:sz="0" w:space="0" w:color="auto"/>
                                    <w:right w:val="none" w:sz="0" w:space="0" w:color="auto"/>
                                  </w:divBdr>
                                  <w:divsChild>
                                    <w:div w:id="906181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7751929">
                          <w:marLeft w:val="0"/>
                          <w:marRight w:val="0"/>
                          <w:marTop w:val="0"/>
                          <w:marBottom w:val="0"/>
                          <w:divBdr>
                            <w:top w:val="none" w:sz="0" w:space="0" w:color="auto"/>
                            <w:left w:val="none" w:sz="0" w:space="0" w:color="auto"/>
                            <w:bottom w:val="none" w:sz="0" w:space="0" w:color="auto"/>
                            <w:right w:val="none" w:sz="0" w:space="0" w:color="auto"/>
                          </w:divBdr>
                          <w:divsChild>
                            <w:div w:id="7958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6648">
      <w:bodyDiv w:val="1"/>
      <w:marLeft w:val="0"/>
      <w:marRight w:val="0"/>
      <w:marTop w:val="0"/>
      <w:marBottom w:val="0"/>
      <w:divBdr>
        <w:top w:val="none" w:sz="0" w:space="0" w:color="auto"/>
        <w:left w:val="none" w:sz="0" w:space="0" w:color="auto"/>
        <w:bottom w:val="none" w:sz="0" w:space="0" w:color="auto"/>
        <w:right w:val="none" w:sz="0" w:space="0" w:color="auto"/>
      </w:divBdr>
    </w:div>
    <w:div w:id="2044557006">
      <w:bodyDiv w:val="1"/>
      <w:marLeft w:val="0"/>
      <w:marRight w:val="0"/>
      <w:marTop w:val="0"/>
      <w:marBottom w:val="0"/>
      <w:divBdr>
        <w:top w:val="none" w:sz="0" w:space="0" w:color="auto"/>
        <w:left w:val="none" w:sz="0" w:space="0" w:color="auto"/>
        <w:bottom w:val="none" w:sz="0" w:space="0" w:color="auto"/>
        <w:right w:val="none" w:sz="0" w:space="0" w:color="auto"/>
      </w:divBdr>
    </w:div>
    <w:div w:id="20851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ndex.php/pen" TargetMode="External"/><Relationship Id="rId13" Type="http://schemas.openxmlformats.org/officeDocument/2006/relationships/hyperlink" Target="https://www.comprasgovernamentais.gov.br/index.php/legislacao/instrucoes-normativas" TargetMode="External"/><Relationship Id="rId18" Type="http://schemas.openxmlformats.org/officeDocument/2006/relationships/hyperlink" Target="https://www.comprasgovernamentais.gov.br/index.php/legislacao/legislacao-por-tem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comprasgovernamentais.gov.br/index.php/links-uteis" TargetMode="External"/><Relationship Id="rId7" Type="http://schemas.openxmlformats.org/officeDocument/2006/relationships/hyperlink" Target="https://www.comprasgovernamentais.gov.br/index.php/sisg" TargetMode="External"/><Relationship Id="rId12" Type="http://schemas.openxmlformats.org/officeDocument/2006/relationships/hyperlink" Target="https://www.comprasgovernamentais.gov.br/index.php/legislacao/decretos" TargetMode="External"/><Relationship Id="rId17" Type="http://schemas.openxmlformats.org/officeDocument/2006/relationships/hyperlink" Target="https://www.comprasgovernamentais.gov.br/index.php/legislacao/orientacoes-normativa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prasgovernamentais.gov.br/index.php/legislacao/resolucoes" TargetMode="External"/><Relationship Id="rId20" Type="http://schemas.openxmlformats.org/officeDocument/2006/relationships/hyperlink" Target="https://www.comprasgovernamentais.gov.br/index.php/perguntas-frequentes-lateral" TargetMode="External"/><Relationship Id="rId1" Type="http://schemas.openxmlformats.org/officeDocument/2006/relationships/numbering" Target="numbering.xml"/><Relationship Id="rId6" Type="http://schemas.openxmlformats.org/officeDocument/2006/relationships/hyperlink" Target="https://www.comprasgovernamentais.gov.br/index.php/departamento-de-logistica" TargetMode="External"/><Relationship Id="rId11" Type="http://schemas.openxmlformats.org/officeDocument/2006/relationships/hyperlink" Target="https://www.comprasgovernamentais.gov.br/index.php/legislacao/leis" TargetMode="External"/><Relationship Id="rId24" Type="http://schemas.openxmlformats.org/officeDocument/2006/relationships/hyperlink" Target="https://www.comprasgovernamentais.gov.br/index.php/legislacao/instrucoes-normativas/760-instrucao-normativa-n-05-de-25-de-maio-de-2017" TargetMode="External"/><Relationship Id="rId5" Type="http://schemas.openxmlformats.org/officeDocument/2006/relationships/webSettings" Target="webSettings.xml"/><Relationship Id="rId15" Type="http://schemas.openxmlformats.org/officeDocument/2006/relationships/hyperlink" Target="https://www.comprasgovernamentais.gov.br/index.php/legislacao/portarias" TargetMode="External"/><Relationship Id="rId23" Type="http://schemas.openxmlformats.org/officeDocument/2006/relationships/hyperlink" Target="https://www.comprasgovernamentais.gov.br/index.php/noticias" TargetMode="External"/><Relationship Id="rId10" Type="http://schemas.openxmlformats.org/officeDocument/2006/relationships/hyperlink" Target="https://www.comprasgovernamentais.gov.br/index.php/legislacao" TargetMode="External"/><Relationship Id="rId19" Type="http://schemas.openxmlformats.org/officeDocument/2006/relationships/hyperlink" Target="https://www.comprasgovernamentais.gov.br/index.php/publicacoes2" TargetMode="External"/><Relationship Id="rId4" Type="http://schemas.openxmlformats.org/officeDocument/2006/relationships/settings" Target="settings.xml"/><Relationship Id="rId9" Type="http://schemas.openxmlformats.org/officeDocument/2006/relationships/hyperlink" Target="https://www.comprasgovernamentais.gov.br/index.php/central-de-compras" TargetMode="External"/><Relationship Id="rId14" Type="http://schemas.openxmlformats.org/officeDocument/2006/relationships/hyperlink" Target="https://www.comprasgovernamentais.gov.br/index.php/legislacao/instrucoes-normativas/instrucao-normativa-de-servicos" TargetMode="External"/><Relationship Id="rId22" Type="http://schemas.openxmlformats.org/officeDocument/2006/relationships/hyperlink" Target="https://www.comprasgovernamentais.gov.br/index.php/posso-ajudar-menu"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8869</Words>
  <Characters>47894</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Noronha</dc:creator>
  <cp:keywords/>
  <dc:description/>
  <cp:lastModifiedBy>Antonio Noronha</cp:lastModifiedBy>
  <cp:revision>1</cp:revision>
  <dcterms:created xsi:type="dcterms:W3CDTF">2019-05-09T12:42:00Z</dcterms:created>
  <dcterms:modified xsi:type="dcterms:W3CDTF">2019-05-09T12:53:00Z</dcterms:modified>
</cp:coreProperties>
</file>