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92" w:rsidRPr="00097592" w:rsidRDefault="00097592" w:rsidP="00097592">
      <w:pPr>
        <w:spacing w:before="225" w:after="0" w:line="240" w:lineRule="auto"/>
        <w:textAlignment w:val="baseline"/>
        <w:outlineLvl w:val="0"/>
        <w:rPr>
          <w:rFonts w:ascii="inherit" w:eastAsia="Times New Roman" w:hAnsi="inherit" w:cs="Times New Roman"/>
          <w:color w:val="005BAB"/>
          <w:kern w:val="36"/>
          <w:sz w:val="48"/>
          <w:szCs w:val="48"/>
          <w:lang w:eastAsia="pt-BR"/>
        </w:rPr>
      </w:pPr>
      <w:r w:rsidRPr="00097592">
        <w:rPr>
          <w:rFonts w:ascii="inherit" w:eastAsia="Times New Roman" w:hAnsi="inherit" w:cs="Times New Roman"/>
          <w:color w:val="005BAB"/>
          <w:kern w:val="36"/>
          <w:sz w:val="48"/>
          <w:szCs w:val="48"/>
          <w:lang w:eastAsia="pt-BR"/>
        </w:rPr>
        <w:t>Notícias</w:t>
      </w:r>
    </w:p>
    <w:p w:rsidR="00097592" w:rsidRPr="00097592" w:rsidRDefault="00097592" w:rsidP="0009759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16/04/2020</w:t>
      </w:r>
    </w:p>
    <w:p w:rsidR="00097592" w:rsidRPr="00097592" w:rsidRDefault="00097592" w:rsidP="00097592">
      <w:pPr>
        <w:spacing w:after="0" w:line="240" w:lineRule="auto"/>
        <w:ind w:right="150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Compartilhe esta notícia:</w:t>
      </w:r>
    </w:p>
    <w:p w:rsidR="00097592" w:rsidRPr="00097592" w:rsidRDefault="00097592" w:rsidP="00097592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olor w:val="139D43"/>
          <w:sz w:val="45"/>
          <w:szCs w:val="45"/>
          <w:lang w:eastAsia="pt-BR"/>
        </w:rPr>
      </w:pPr>
      <w:r w:rsidRPr="00097592">
        <w:rPr>
          <w:rFonts w:ascii="inherit" w:eastAsia="Times New Roman" w:hAnsi="inherit" w:cs="Times New Roman"/>
          <w:color w:val="139D43"/>
          <w:sz w:val="45"/>
          <w:szCs w:val="45"/>
          <w:lang w:eastAsia="pt-BR"/>
        </w:rPr>
        <w:t>Publicada nota técnica de orientações sobre regulamentação dos benefícios eventuais</w:t>
      </w:r>
    </w:p>
    <w:p w:rsidR="00097592" w:rsidRPr="00097592" w:rsidRDefault="00097592" w:rsidP="000975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noProof/>
          <w:color w:val="616161"/>
          <w:sz w:val="24"/>
          <w:szCs w:val="24"/>
          <w:lang w:eastAsia="pt-BR"/>
        </w:rPr>
        <w:drawing>
          <wp:inline distT="0" distB="0" distL="0" distR="0" wp14:anchorId="6C634041" wp14:editId="0D5A00A1">
            <wp:extent cx="2162175" cy="2114550"/>
            <wp:effectExtent l="0" t="0" r="9525" b="0"/>
            <wp:docPr id="1" name="Imagem 1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Índ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Publicada nesta quinta-feira, 16 de abril, a </w:t>
      </w:r>
      <w:hyperlink r:id="rId5" w:tgtFrame="_blank" w:history="1">
        <w:r w:rsidRPr="00097592">
          <w:rPr>
            <w:rFonts w:ascii="Arial" w:eastAsia="Times New Roman" w:hAnsi="Arial" w:cs="Arial"/>
            <w:b/>
            <w:bCs/>
            <w:color w:val="337AB7"/>
            <w:sz w:val="26"/>
            <w:szCs w:val="26"/>
            <w:bdr w:val="none" w:sz="0" w:space="0" w:color="auto" w:frame="1"/>
            <w:lang w:eastAsia="pt-BR"/>
          </w:rPr>
          <w:t>Portaria 58/2020</w:t>
        </w:r>
      </w:hyperlink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 xml:space="preserve"> da Secretaria Nacional de Assistência Social do Ministério da Cidadania (SNAS/MC) aprova a Nota Técnica (NT) 20/2020 de orientação a gestão e a oferta de benefícios eventuais no contexto de enfrentamento aos impactos do </w:t>
      </w:r>
      <w:proofErr w:type="spellStart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coronavírus</w:t>
      </w:r>
      <w:proofErr w:type="spellEnd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 xml:space="preserve"> (Covid-19). Destinadas aos gestores e técnicos municipais, as medidas devem ser observadas no âmbito do Sistema Único de Assistência Social (Suas). </w:t>
      </w:r>
    </w:p>
    <w:p w:rsidR="00097592" w:rsidRPr="00097592" w:rsidRDefault="00097592" w:rsidP="0009759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 xml:space="preserve">A Confederação Nacional de Municípios (CNM) informa sobre a aprovação da nota técnica, publicada no Diário Oficial da </w:t>
      </w:r>
      <w:proofErr w:type="spellStart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UNião</w:t>
      </w:r>
      <w:proofErr w:type="spellEnd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 xml:space="preserve"> (DOU), com objetivo de organizar o processo de regulamentação ou aperfeiçoamento normativo municipal para oferta dos benefícios. Responsável por grande parte da demanda municipal, por conta dos impactos sociais gerados pela pandemia, como a impossibilidade de trabalho pela população e desemprego.</w:t>
      </w:r>
    </w:p>
    <w:p w:rsidR="00097592" w:rsidRPr="00097592" w:rsidRDefault="00097592" w:rsidP="0009759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De acordo com a área de Assistência Social da entidade, é fundamental observar as outras normas recentes, que envolvem as ações de enfrentamento ao Covid-19 no âmbito do Suas. São elas: a Portaria 337/2020, a Portaria 54/2020 e a Portaria Conjunta 1/2020. Também se deve considerar as normativas municipais adotadas a partir do Decreto Legislativo 6/2020 do estado de calamidade pública, para que estejam resguardados e em consonância com as ações do governo federal.</w:t>
      </w:r>
    </w:p>
    <w:p w:rsidR="00097592" w:rsidRPr="00097592" w:rsidRDefault="00097592" w:rsidP="0009759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 xml:space="preserve">A CNM reconhece a responsabilidade estadual e municipal de custear benefícios eventuais, e adianta que a liberação do crédito extraordinário de R$ 2,5 bilhões para área social será aplicado na reorganização dos orçamentos municipais, deixando o </w:t>
      </w:r>
      <w:proofErr w:type="spellStart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cofinanciamento</w:t>
      </w:r>
      <w:proofErr w:type="spellEnd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 xml:space="preserve"> federal para custear os serviços </w:t>
      </w:r>
      <w:proofErr w:type="spellStart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socioassistenciais</w:t>
      </w:r>
      <w:proofErr w:type="spellEnd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 xml:space="preserve">, e o recurso próprio livre para reforçar os benefícios eventuais. Na manhã desta terça-feira, em reunião com prefeitos, o presidente da entidade, </w:t>
      </w:r>
      <w:proofErr w:type="spellStart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Glademir</w:t>
      </w:r>
      <w:proofErr w:type="spellEnd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 xml:space="preserve"> </w:t>
      </w:r>
      <w:proofErr w:type="spellStart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Aroldi</w:t>
      </w:r>
      <w:proofErr w:type="spellEnd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, falou que o movimento municipalista lutará por, pelo menos, mais R$ 1,5 bilhão para a área.</w:t>
      </w:r>
    </w:p>
    <w:p w:rsidR="00097592" w:rsidRPr="00097592" w:rsidRDefault="00097592" w:rsidP="000975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b/>
          <w:bCs/>
          <w:color w:val="616161"/>
          <w:sz w:val="26"/>
          <w:szCs w:val="26"/>
          <w:bdr w:val="none" w:sz="0" w:space="0" w:color="auto" w:frame="1"/>
          <w:lang w:eastAsia="pt-BR"/>
        </w:rPr>
        <w:lastRenderedPageBreak/>
        <w:t>Orientações</w:t>
      </w: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br/>
        <w:t>Dito isso, a entidade pontua as principais orientações aprovadas pela portaria, dentre as quais se destaca a qualificação do que venha a ser benefícios eventuais. "São provisões públicas de caráter temporário que se destinam a indivíduos e famílias que não podem satisfazer suas necessidades básicas com recursos próprios". Garantidos pela Lei 8.742/1993, o benefício eventual requer comprometimento orçamentário do Município e qualificação técnica para sua prestação, sem qualquer exigência contrapartidas.</w:t>
      </w:r>
    </w:p>
    <w:p w:rsidR="00097592" w:rsidRPr="00097592" w:rsidRDefault="00097592" w:rsidP="0009759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Chama atenção ainda ser de competência municipal a regulamentação da oferta desses benefícios eventuais, e caso não haja previsão normativa da oferta nas situações de calamidades e emergências é possível atender as demandas da população observando a normativa que prevê a oferta de benefícios eventuais para a situação de nascimento, morte ou vulnerabilidade temporária.</w:t>
      </w:r>
    </w:p>
    <w:p w:rsidR="00097592" w:rsidRPr="00097592" w:rsidRDefault="00097592" w:rsidP="0009759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 xml:space="preserve">Além disso, a NT define o benefício concedido na forma de pecúnia (recurso) e/ou bens de consumo, em caráter provisório. No caso de pecúnia o valor deve estar de acordo com o grau de vulnerabilidade, assim como a oferta de bens de consumo (alimentos) deve estar em conformidade com as demandas dos requerentes, e a realidade local. Lembrando que a oferta dos benefícios deve estar alinhada aos serviços </w:t>
      </w:r>
      <w:proofErr w:type="spellStart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socioassistenciais</w:t>
      </w:r>
      <w:proofErr w:type="spellEnd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.</w:t>
      </w:r>
    </w:p>
    <w:p w:rsidR="00097592" w:rsidRPr="00097592" w:rsidRDefault="00097592" w:rsidP="000975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b/>
          <w:bCs/>
          <w:color w:val="616161"/>
          <w:sz w:val="26"/>
          <w:szCs w:val="26"/>
          <w:bdr w:val="none" w:sz="0" w:space="0" w:color="auto" w:frame="1"/>
          <w:lang w:eastAsia="pt-BR"/>
        </w:rPr>
        <w:t>Norma</w:t>
      </w: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br/>
        <w:t>Em relação à regulamentação e o aprimoramento desse benefício, a área técnica da CNM destaca</w:t>
      </w: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br/>
        <w:t>duas situações:</w:t>
      </w: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br/>
        <w:t>- os benefícios eventuais que não estão regulamentados e/ou regulamentação em desacordo com o Suas, de acordo com o Decreto 6.307/2007 de regulamentação do texto previsto na Lei Orçamentária Anual (LOA), a norma municipal poderá ser alterada para atender as especificidades da epidemia no território, quando a situação de calamidade não está prevista na lei municipal, ou não está clara; e</w:t>
      </w: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br/>
        <w:t>- a observância do tempo de oferta do Benefício Eventual à população está de acordo com o previsto no decreto de calamidade, considere possibilidade da ampliação do prazo para recebimento do benefício eventual; informar a população sobre as alterações;</w:t>
      </w:r>
    </w:p>
    <w:p w:rsidR="00097592" w:rsidRPr="00097592" w:rsidRDefault="00097592" w:rsidP="0009759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A CNM explica que não é necessário instrumental privativo de uma profissão, como o parecer social, para justificar a concessão do benefício eventual. O reconhecimento de calamidade pública permite ao Poder Executivo gastar mais que previsto na LOA para custear ações de combate à pandemia. Assim, ao decretar situação de calamidade pública, Município dispõe de mais possibilidades de utilização dos recursos previstos para benefício eventual, podendo dar respostas rápidas às demandas.</w:t>
      </w:r>
    </w:p>
    <w:p w:rsidR="00097592" w:rsidRPr="00097592" w:rsidRDefault="00097592" w:rsidP="000975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b/>
          <w:bCs/>
          <w:color w:val="616161"/>
          <w:sz w:val="26"/>
          <w:szCs w:val="26"/>
          <w:bdr w:val="none" w:sz="0" w:space="0" w:color="auto" w:frame="1"/>
          <w:lang w:eastAsia="pt-BR"/>
        </w:rPr>
        <w:t>Ano eleitoral</w:t>
      </w: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br/>
        <w:t>Sobre as vedações em ano eleitoral, a entidade menciona a Lei 9.504/1997 das Eleições, que lista, no artigo 73 parágrafo 10, as condutas proibidas aos agentes públicos, servidores ou não, as seguintes condutas tendentes a afetar a igualdade de oportunidades entre candidatos nos pleitos eleitorais. Proíbe, em ano de eleição, a distribuição gratuita de bens, valores ou benefícios por parte da Administração Pública.</w:t>
      </w:r>
    </w:p>
    <w:p w:rsidR="00097592" w:rsidRPr="00097592" w:rsidRDefault="00097592" w:rsidP="00097592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lastRenderedPageBreak/>
        <w:t>O texto legal apresenta as exceções para os casos de calamidade pública, de estado de emergência ou de programas sociais autorizados em lei e já em execução orçamentária no exercício anterior. Em 2006, a Lei 11.300 estabeleceu, para esses casos mencionados, a possibilidade do Ministério Público acompanhamento a execução financeira e administrativa do poder Executivo.</w:t>
      </w:r>
    </w:p>
    <w:p w:rsidR="00097592" w:rsidRPr="00097592" w:rsidRDefault="00097592" w:rsidP="000975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b/>
          <w:bCs/>
          <w:color w:val="616161"/>
          <w:sz w:val="26"/>
          <w:szCs w:val="26"/>
          <w:bdr w:val="none" w:sz="0" w:space="0" w:color="auto" w:frame="1"/>
          <w:lang w:eastAsia="pt-BR"/>
        </w:rPr>
        <w:t>Bate-Papo</w:t>
      </w:r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br/>
        <w:t xml:space="preserve">As orientações da NT serão debatidas com a secretária nacional de assistência social, Mariana </w:t>
      </w:r>
      <w:proofErr w:type="spellStart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Neres</w:t>
      </w:r>
      <w:proofErr w:type="spellEnd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 xml:space="preserve">, durante o Bate-Papo com a CNM, nesta sexta-feira, 17 de abril, a partir das 14h. Também será debatido o crédito extra, os pagamentos do </w:t>
      </w:r>
      <w:proofErr w:type="spellStart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cofinanciamento</w:t>
      </w:r>
      <w:proofErr w:type="spellEnd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 xml:space="preserve"> federal aos Municípios e as ações de competência municipal. O presidente da CNM e a consultora Rosângela Ribeiro participarão da transmissão on-line que ocorre pelos canais da entidade no </w:t>
      </w:r>
      <w:proofErr w:type="spellStart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Facebook</w:t>
      </w:r>
      <w:proofErr w:type="spellEnd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 xml:space="preserve"> e </w:t>
      </w:r>
      <w:proofErr w:type="spellStart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YouTube</w:t>
      </w:r>
      <w:proofErr w:type="spellEnd"/>
      <w:r w:rsidRPr="00097592">
        <w:rPr>
          <w:rFonts w:ascii="Arial" w:eastAsia="Times New Roman" w:hAnsi="Arial" w:cs="Arial"/>
          <w:color w:val="616161"/>
          <w:sz w:val="24"/>
          <w:szCs w:val="24"/>
          <w:lang w:eastAsia="pt-BR"/>
        </w:rPr>
        <w:t>.</w:t>
      </w:r>
    </w:p>
    <w:p w:rsidR="00097592" w:rsidRPr="00097592" w:rsidRDefault="00097592" w:rsidP="000975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b/>
          <w:bCs/>
          <w:color w:val="616161"/>
          <w:sz w:val="26"/>
          <w:szCs w:val="26"/>
          <w:bdr w:val="none" w:sz="0" w:space="0" w:color="auto" w:frame="1"/>
          <w:lang w:eastAsia="pt-BR"/>
        </w:rPr>
        <w:t>Leia também: </w:t>
      </w:r>
      <w:hyperlink r:id="rId6" w:tgtFrame="_blank" w:history="1">
        <w:r w:rsidRPr="00097592">
          <w:rPr>
            <w:rFonts w:ascii="Arial" w:eastAsia="Times New Roman" w:hAnsi="Arial" w:cs="Arial"/>
            <w:b/>
            <w:bCs/>
            <w:color w:val="337AB7"/>
            <w:sz w:val="26"/>
            <w:szCs w:val="26"/>
            <w:u w:val="single"/>
            <w:bdr w:val="none" w:sz="0" w:space="0" w:color="auto" w:frame="1"/>
            <w:lang w:eastAsia="pt-BR"/>
          </w:rPr>
          <w:t>CONQUISTA: governo destina R$ 2,5 bilhões para Assistência Social</w:t>
        </w:r>
      </w:hyperlink>
    </w:p>
    <w:p w:rsidR="00097592" w:rsidRPr="00097592" w:rsidRDefault="00097592" w:rsidP="000975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i/>
          <w:iCs/>
          <w:color w:val="616161"/>
          <w:sz w:val="26"/>
          <w:szCs w:val="26"/>
          <w:bdr w:val="none" w:sz="0" w:space="0" w:color="auto" w:frame="1"/>
          <w:lang w:eastAsia="pt-BR"/>
        </w:rPr>
        <w:t>Por Raquel Montalvão</w:t>
      </w:r>
    </w:p>
    <w:p w:rsidR="00097592" w:rsidRPr="00097592" w:rsidRDefault="00097592" w:rsidP="000975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r w:rsidRPr="00097592">
        <w:rPr>
          <w:rFonts w:ascii="Arial" w:eastAsia="Times New Roman" w:hAnsi="Arial" w:cs="Arial"/>
          <w:i/>
          <w:iCs/>
          <w:color w:val="616161"/>
          <w:sz w:val="26"/>
          <w:szCs w:val="26"/>
          <w:bdr w:val="none" w:sz="0" w:space="0" w:color="auto" w:frame="1"/>
          <w:lang w:eastAsia="pt-BR"/>
        </w:rPr>
        <w:t>Imagem: Prefeitura de Lafaiete</w:t>
      </w:r>
    </w:p>
    <w:p w:rsidR="00097592" w:rsidRPr="00097592" w:rsidRDefault="00097592" w:rsidP="000975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pt-BR"/>
        </w:rPr>
      </w:pPr>
      <w:hyperlink r:id="rId7" w:tgtFrame="_blank" w:history="1">
        <w:r w:rsidRPr="00097592">
          <w:rPr>
            <w:rFonts w:ascii="Arial" w:eastAsia="Times New Roman" w:hAnsi="Arial" w:cs="Arial"/>
            <w:b/>
            <w:bCs/>
            <w:i/>
            <w:iCs/>
            <w:color w:val="23527C"/>
            <w:sz w:val="26"/>
            <w:szCs w:val="26"/>
            <w:u w:val="single"/>
            <w:bdr w:val="none" w:sz="0" w:space="0" w:color="auto" w:frame="1"/>
            <w:lang w:eastAsia="pt-BR"/>
          </w:rPr>
          <w:t>Da Agência CNM de Notícias</w:t>
        </w:r>
      </w:hyperlink>
    </w:p>
    <w:p w:rsidR="009237E9" w:rsidRDefault="009237E9">
      <w:bookmarkStart w:id="0" w:name="_GoBack"/>
      <w:bookmarkEnd w:id="0"/>
    </w:p>
    <w:sectPr w:rsidR="00923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92"/>
    <w:rsid w:val="00097592"/>
    <w:rsid w:val="0092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79D71-C0C5-4300-B15A-40D7BEB9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.cnm.org.br/r/vPB8x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K88Qcw" TargetMode="External"/><Relationship Id="rId5" Type="http://schemas.openxmlformats.org/officeDocument/2006/relationships/hyperlink" Target="https://bit.ly/2ymyXt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2020-04-17T16:12:00Z</dcterms:created>
  <dcterms:modified xsi:type="dcterms:W3CDTF">2020-04-17T16:13:00Z</dcterms:modified>
</cp:coreProperties>
</file>